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Theme="majorEastAsia" w:hAnsi="Calibri" w:cstheme="majorBidi"/>
          <w:caps/>
          <w:sz w:val="24"/>
        </w:rPr>
        <w:id w:val="1464305450"/>
        <w:docPartObj>
          <w:docPartGallery w:val="Cover Pages"/>
          <w:docPartUnique/>
        </w:docPartObj>
      </w:sdtPr>
      <w:sdtEndPr>
        <w:rPr>
          <w:rFonts w:eastAsia="Times New Roman" w:cs="Times New Roman"/>
          <w:bCs/>
          <w:caps w:val="0"/>
          <w:kern w:val="36"/>
          <w:szCs w:val="24"/>
        </w:rPr>
      </w:sdtEndPr>
      <w:sdtContent>
        <w:tbl>
          <w:tblPr>
            <w:tblW w:w="5000" w:type="pct"/>
            <w:jc w:val="center"/>
            <w:tblLook w:val="04A0" w:firstRow="1" w:lastRow="0" w:firstColumn="1" w:lastColumn="0" w:noHBand="0" w:noVBand="1"/>
          </w:tblPr>
          <w:tblGrid>
            <w:gridCol w:w="9360"/>
          </w:tblGrid>
          <w:tr w:rsidR="00643A8B" w:rsidRPr="00C10D7D" w14:paraId="0D7509B4" w14:textId="77777777">
            <w:trPr>
              <w:trHeight w:val="2880"/>
              <w:jc w:val="center"/>
            </w:trPr>
            <w:sdt>
              <w:sdtPr>
                <w:rPr>
                  <w:rFonts w:ascii="Calibri" w:eastAsiaTheme="majorEastAsia" w:hAnsi="Calibri" w:cstheme="majorBidi"/>
                  <w:caps/>
                  <w:sz w:val="24"/>
                </w:rPr>
                <w:alias w:val="Company"/>
                <w:id w:val="15524243"/>
                <w:dataBinding w:prefixMappings="xmlns:ns0='http://schemas.openxmlformats.org/officeDocument/2006/extended-properties'" w:xpath="/ns0:Properties[1]/ns0:Company[1]" w:storeItemID="{6668398D-A668-4E3E-A5EB-62B293D839F1}"/>
                <w:text/>
              </w:sdtPr>
              <w:sdtEndPr>
                <w:rPr>
                  <w:rFonts w:asciiTheme="minorHAnsi" w:hAnsiTheme="minorHAnsi"/>
                  <w:sz w:val="28"/>
                  <w:szCs w:val="28"/>
                </w:rPr>
              </w:sdtEndPr>
              <w:sdtContent>
                <w:tc>
                  <w:tcPr>
                    <w:tcW w:w="5000" w:type="pct"/>
                  </w:tcPr>
                  <w:p w14:paraId="331D7DEF" w14:textId="77777777" w:rsidR="00643A8B" w:rsidRPr="00C10D7D" w:rsidRDefault="00350962" w:rsidP="000E6FFE">
                    <w:pPr>
                      <w:pStyle w:val="NoSpacing"/>
                      <w:jc w:val="center"/>
                      <w:rPr>
                        <w:rFonts w:eastAsiaTheme="majorEastAsia" w:cstheme="majorBidi"/>
                        <w:caps/>
                      </w:rPr>
                    </w:pPr>
                    <w:r w:rsidRPr="00C10D7D">
                      <w:rPr>
                        <w:rFonts w:eastAsiaTheme="majorEastAsia" w:cstheme="majorBidi"/>
                        <w:caps/>
                        <w:sz w:val="24"/>
                      </w:rPr>
                      <w:t>Ozone Transport Commission</w:t>
                    </w:r>
                  </w:p>
                </w:tc>
              </w:sdtContent>
            </w:sdt>
          </w:tr>
          <w:tr w:rsidR="00643A8B" w14:paraId="09867BE5" w14:textId="77777777">
            <w:trPr>
              <w:trHeight w:val="1440"/>
              <w:jc w:val="center"/>
            </w:trPr>
            <w:bookmarkStart w:id="0" w:name="OLE_LINK6" w:displacedByCustomXml="next"/>
            <w:bookmarkStart w:id="1" w:name="OLE_LINK5" w:displacedByCustomXml="next"/>
            <w:sdt>
              <w:sdtPr>
                <w:rPr>
                  <w:b/>
                  <w:sz w:val="32"/>
                  <w:szCs w:val="3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bookmarkEnd w:id="1" w:displacedByCustomXml="prev"/>
                <w:bookmarkEnd w:id="0" w:displacedByCustomXml="prev"/>
                <w:tc>
                  <w:tcPr>
                    <w:tcW w:w="5000" w:type="pct"/>
                    <w:tcBorders>
                      <w:bottom w:val="single" w:sz="4" w:space="0" w:color="5B9BD5" w:themeColor="accent1"/>
                    </w:tcBorders>
                    <w:vAlign w:val="center"/>
                  </w:tcPr>
                  <w:p w14:paraId="5E01E3A1" w14:textId="77777777" w:rsidR="00643A8B" w:rsidRDefault="00350962" w:rsidP="00350962">
                    <w:pPr>
                      <w:pStyle w:val="NoSpacing"/>
                      <w:jc w:val="center"/>
                      <w:rPr>
                        <w:rFonts w:asciiTheme="majorHAnsi" w:eastAsiaTheme="majorEastAsia" w:hAnsiTheme="majorHAnsi" w:cstheme="majorBidi"/>
                        <w:sz w:val="80"/>
                        <w:szCs w:val="80"/>
                      </w:rPr>
                    </w:pPr>
                    <w:r w:rsidRPr="00350962">
                      <w:rPr>
                        <w:b/>
                        <w:sz w:val="32"/>
                        <w:szCs w:val="32"/>
                      </w:rPr>
                      <w:t>White Paper on Control Measures for Nitrogen Oxides (NOx) Emissions from Two Source Categories</w:t>
                    </w:r>
                  </w:p>
                </w:tc>
              </w:sdtContent>
            </w:sdt>
          </w:tr>
          <w:tr w:rsidR="00643A8B" w14:paraId="0082DE6A" w14:textId="77777777">
            <w:trPr>
              <w:trHeight w:val="720"/>
              <w:jc w:val="center"/>
            </w:trPr>
            <w:sdt>
              <w:sdtPr>
                <w:rPr>
                  <w:rFonts w:eastAsiaTheme="majorEastAsia" w:cstheme="majorBidi"/>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14:paraId="074BC2F5" w14:textId="77777777" w:rsidR="00643A8B" w:rsidRPr="009D2478" w:rsidRDefault="00350962" w:rsidP="000E6FFE">
                    <w:pPr>
                      <w:pStyle w:val="NoSpacing"/>
                      <w:spacing w:before="480" w:after="240"/>
                      <w:jc w:val="center"/>
                      <w:rPr>
                        <w:rFonts w:asciiTheme="majorHAnsi" w:eastAsiaTheme="majorEastAsia" w:hAnsiTheme="majorHAnsi" w:cstheme="majorBidi"/>
                        <w:sz w:val="32"/>
                        <w:szCs w:val="32"/>
                      </w:rPr>
                    </w:pPr>
                    <w:r>
                      <w:rPr>
                        <w:rFonts w:eastAsiaTheme="majorEastAsia" w:cstheme="majorBidi"/>
                        <w:sz w:val="32"/>
                        <w:szCs w:val="32"/>
                      </w:rPr>
                      <w:t>STATIONARY and AREA SOURCES COMMITTEE</w:t>
                    </w:r>
                  </w:p>
                </w:tc>
              </w:sdtContent>
            </w:sdt>
          </w:tr>
        </w:tbl>
        <w:sdt>
          <w:sdtPr>
            <w:rPr>
              <w:bCs/>
              <w:sz w:val="28"/>
              <w:szCs w:val="28"/>
            </w:rPr>
            <w:alias w:val="Date"/>
            <w:id w:val="516659546"/>
            <w:dataBinding w:prefixMappings="xmlns:ns0='http://schemas.microsoft.com/office/2006/coverPageProps'" w:xpath="/ns0:CoverPageProperties[1]/ns0:PublishDate[1]" w:storeItemID="{55AF091B-3C7A-41E3-B477-F2FDAA23CFDA}"/>
            <w:date w:fullDate="2017-08-28T00:00:00Z">
              <w:dateFormat w:val="M/d/yyyy"/>
              <w:lid w:val="en-US"/>
              <w:storeMappedDataAs w:val="dateTime"/>
              <w:calendar w:val="gregorian"/>
            </w:date>
          </w:sdtPr>
          <w:sdtEndPr/>
          <w:sdtContent>
            <w:p w14:paraId="379B3ED5" w14:textId="6EAC6FB4" w:rsidR="00643A8B" w:rsidRDefault="0089724E" w:rsidP="000E6FFE">
              <w:pPr>
                <w:jc w:val="center"/>
              </w:pPr>
              <w:r>
                <w:rPr>
                  <w:bCs/>
                  <w:sz w:val="28"/>
                  <w:szCs w:val="28"/>
                </w:rPr>
                <w:t>8/28/2017</w:t>
              </w:r>
            </w:p>
          </w:sdtContent>
        </w:sdt>
        <w:p w14:paraId="59C63F4E" w14:textId="77777777" w:rsidR="00643A8B" w:rsidRPr="00C442E5" w:rsidRDefault="00643A8B" w:rsidP="000E6FFE">
          <w:pPr>
            <w:rPr>
              <w:szCs w:val="24"/>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643A8B" w:rsidRPr="00C442E5" w14:paraId="72D1FB70" w14:textId="77777777">
            <w:tc>
              <w:tcPr>
                <w:tcW w:w="5000" w:type="pct"/>
              </w:tcPr>
              <w:p w14:paraId="2577750B" w14:textId="77777777" w:rsidR="00643A8B" w:rsidRPr="00C442E5" w:rsidRDefault="00643A8B" w:rsidP="000E6FFE">
                <w:pPr>
                  <w:pStyle w:val="NoSpacing"/>
                  <w:rPr>
                    <w:sz w:val="24"/>
                    <w:szCs w:val="24"/>
                  </w:rPr>
                </w:pPr>
              </w:p>
            </w:tc>
          </w:tr>
        </w:tbl>
        <w:p w14:paraId="7CA7ECB9" w14:textId="77777777" w:rsidR="00643A8B" w:rsidRPr="00C442E5" w:rsidRDefault="00066219" w:rsidP="000E6FFE">
          <w:pPr>
            <w:rPr>
              <w:rFonts w:asciiTheme="minorHAnsi" w:eastAsia="Times New Roman" w:hAnsiTheme="minorHAnsi" w:cs="Times New Roman"/>
              <w:bCs/>
              <w:kern w:val="36"/>
              <w:szCs w:val="24"/>
            </w:rPr>
          </w:pPr>
        </w:p>
      </w:sdtContent>
    </w:sdt>
    <w:p w14:paraId="51316AEB" w14:textId="77777777" w:rsidR="00820629" w:rsidRPr="00D96CF1" w:rsidRDefault="00820629" w:rsidP="000E6FFE">
      <w:pPr>
        <w:rPr>
          <w:sz w:val="22"/>
        </w:rPr>
      </w:pPr>
      <w:r w:rsidRPr="00D96CF1">
        <w:rPr>
          <w:sz w:val="22"/>
        </w:rPr>
        <w:br w:type="page"/>
      </w:r>
    </w:p>
    <w:sdt>
      <w:sdtPr>
        <w:rPr>
          <w:i w:val="0"/>
          <w:iCs w:val="0"/>
          <w:color w:val="auto"/>
          <w:szCs w:val="24"/>
        </w:rPr>
        <w:id w:val="1231041310"/>
        <w:docPartObj>
          <w:docPartGallery w:val="Table of Contents"/>
          <w:docPartUnique/>
        </w:docPartObj>
      </w:sdtPr>
      <w:sdtEndPr>
        <w:rPr>
          <w:b/>
          <w:bCs/>
          <w:noProof/>
          <w:sz w:val="22"/>
          <w:szCs w:val="22"/>
        </w:rPr>
      </w:sdtEndPr>
      <w:sdtContent>
        <w:bookmarkStart w:id="2" w:name="TOC" w:displacedByCustomXml="prev"/>
        <w:p w14:paraId="6FDFA0FF" w14:textId="77777777" w:rsidR="00D96CF1" w:rsidRPr="008B55A1" w:rsidRDefault="008B55A1" w:rsidP="001833CC">
          <w:pPr>
            <w:pStyle w:val="Quote"/>
            <w:spacing w:before="0" w:after="60"/>
            <w:ind w:left="0"/>
            <w:jc w:val="left"/>
            <w:rPr>
              <w:b/>
              <w:i w:val="0"/>
              <w:color w:val="000000" w:themeColor="text1"/>
              <w:szCs w:val="24"/>
            </w:rPr>
          </w:pPr>
          <w:r w:rsidRPr="008B55A1">
            <w:rPr>
              <w:b/>
              <w:i w:val="0"/>
              <w:color w:val="000000" w:themeColor="text1"/>
              <w:szCs w:val="24"/>
            </w:rPr>
            <w:t xml:space="preserve">Table </w:t>
          </w:r>
          <w:r>
            <w:rPr>
              <w:b/>
              <w:i w:val="0"/>
              <w:color w:val="000000" w:themeColor="text1"/>
              <w:szCs w:val="24"/>
            </w:rPr>
            <w:t>o</w:t>
          </w:r>
          <w:r w:rsidRPr="008B55A1">
            <w:rPr>
              <w:b/>
              <w:i w:val="0"/>
              <w:color w:val="000000" w:themeColor="text1"/>
              <w:szCs w:val="24"/>
            </w:rPr>
            <w:t>f Contents</w:t>
          </w:r>
        </w:p>
        <w:bookmarkEnd w:id="2"/>
        <w:p w14:paraId="7130387E" w14:textId="77777777" w:rsidR="002E5845" w:rsidRPr="002E5845" w:rsidRDefault="00190587" w:rsidP="002E5845">
          <w:pPr>
            <w:pStyle w:val="TOC2"/>
            <w:spacing w:after="0"/>
            <w:rPr>
              <w:rFonts w:asciiTheme="minorHAnsi" w:eastAsiaTheme="minorEastAsia" w:hAnsiTheme="minorHAnsi"/>
              <w:noProof/>
              <w:sz w:val="22"/>
            </w:rPr>
          </w:pPr>
          <w:r w:rsidRPr="002E5845">
            <w:rPr>
              <w:sz w:val="22"/>
            </w:rPr>
            <w:fldChar w:fldCharType="begin"/>
          </w:r>
          <w:r w:rsidR="00D96CF1" w:rsidRPr="002E5845">
            <w:rPr>
              <w:sz w:val="22"/>
            </w:rPr>
            <w:instrText xml:space="preserve"> TOC \o "1-3" \h \z \u </w:instrText>
          </w:r>
          <w:r w:rsidRPr="002E5845">
            <w:rPr>
              <w:sz w:val="22"/>
            </w:rPr>
            <w:fldChar w:fldCharType="separate"/>
          </w:r>
          <w:hyperlink w:anchor="_Toc491349924" w:history="1">
            <w:r w:rsidR="002E5845" w:rsidRPr="002E5845">
              <w:rPr>
                <w:rStyle w:val="Hyperlink"/>
                <w:noProof/>
                <w:sz w:val="22"/>
              </w:rPr>
              <w:t>Purpose</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_Toc491349924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4</w:t>
            </w:r>
            <w:r w:rsidR="002E5845" w:rsidRPr="002E5845">
              <w:rPr>
                <w:noProof/>
                <w:webHidden/>
                <w:sz w:val="22"/>
              </w:rPr>
              <w:fldChar w:fldCharType="end"/>
            </w:r>
          </w:hyperlink>
        </w:p>
        <w:p w14:paraId="61F41C4D" w14:textId="77777777" w:rsidR="002E5845" w:rsidRPr="002E5845" w:rsidRDefault="00066219" w:rsidP="002E5845">
          <w:pPr>
            <w:pStyle w:val="TOC2"/>
            <w:spacing w:after="0"/>
            <w:rPr>
              <w:rFonts w:asciiTheme="minorHAnsi" w:eastAsiaTheme="minorEastAsia" w:hAnsiTheme="minorHAnsi"/>
              <w:noProof/>
              <w:sz w:val="22"/>
            </w:rPr>
          </w:pPr>
          <w:hyperlink w:anchor="_Toc491349925" w:history="1">
            <w:r w:rsidR="002E5845" w:rsidRPr="002E5845">
              <w:rPr>
                <w:rStyle w:val="Hyperlink"/>
                <w:noProof/>
                <w:sz w:val="22"/>
              </w:rPr>
              <w:t>Background</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_Toc491349925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5</w:t>
            </w:r>
            <w:r w:rsidR="002E5845" w:rsidRPr="002E5845">
              <w:rPr>
                <w:noProof/>
                <w:webHidden/>
                <w:sz w:val="22"/>
              </w:rPr>
              <w:fldChar w:fldCharType="end"/>
            </w:r>
          </w:hyperlink>
        </w:p>
        <w:p w14:paraId="6CEEB0C7"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26" w:history="1">
            <w:r w:rsidR="002E5845" w:rsidRPr="002E5845">
              <w:rPr>
                <w:rStyle w:val="Hyperlink"/>
                <w:noProof/>
                <w:sz w:val="22"/>
              </w:rPr>
              <w:t>Good Neighbor provision for the 2015 Ozone National Ambient Air Quality Standards (NAAQS) under the Clean Air Act (CAA)</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_Toc491349926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5</w:t>
            </w:r>
            <w:r w:rsidR="002E5845" w:rsidRPr="002E5845">
              <w:rPr>
                <w:noProof/>
                <w:webHidden/>
                <w:sz w:val="22"/>
              </w:rPr>
              <w:fldChar w:fldCharType="end"/>
            </w:r>
          </w:hyperlink>
        </w:p>
        <w:p w14:paraId="1C00B755"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27" w:history="1">
            <w:r w:rsidR="002E5845" w:rsidRPr="002E5845">
              <w:rPr>
                <w:rStyle w:val="Hyperlink"/>
                <w:noProof/>
                <w:sz w:val="22"/>
              </w:rPr>
              <w:t>Two Nitrogen Oxides (NOx) Emissions Source Categories</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_Toc491349927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6</w:t>
            </w:r>
            <w:r w:rsidR="002E5845" w:rsidRPr="002E5845">
              <w:rPr>
                <w:noProof/>
                <w:webHidden/>
                <w:sz w:val="22"/>
              </w:rPr>
              <w:fldChar w:fldCharType="end"/>
            </w:r>
          </w:hyperlink>
        </w:p>
        <w:p w14:paraId="6286073A" w14:textId="77777777" w:rsidR="002E5845" w:rsidRPr="002E5845" w:rsidRDefault="00066219" w:rsidP="002E5845">
          <w:pPr>
            <w:pStyle w:val="TOC2"/>
            <w:spacing w:after="0"/>
            <w:rPr>
              <w:rFonts w:asciiTheme="minorHAnsi" w:eastAsiaTheme="minorEastAsia" w:hAnsiTheme="minorHAnsi"/>
              <w:noProof/>
              <w:sz w:val="22"/>
            </w:rPr>
          </w:pPr>
          <w:hyperlink w:anchor="_Toc491349928" w:history="1">
            <w:r w:rsidR="002E5845" w:rsidRPr="002E5845">
              <w:rPr>
                <w:rStyle w:val="Hyperlink"/>
                <w:noProof/>
                <w:sz w:val="22"/>
              </w:rPr>
              <w:t>Natural Gas Pipeline Compressor Prime Movers</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_Toc491349928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8</w:t>
            </w:r>
            <w:r w:rsidR="002E5845" w:rsidRPr="002E5845">
              <w:rPr>
                <w:noProof/>
                <w:webHidden/>
                <w:sz w:val="22"/>
              </w:rPr>
              <w:fldChar w:fldCharType="end"/>
            </w:r>
          </w:hyperlink>
        </w:p>
        <w:p w14:paraId="4AD0239F"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29" w:history="1">
            <w:r w:rsidR="002E5845" w:rsidRPr="002E5845">
              <w:rPr>
                <w:rStyle w:val="Hyperlink"/>
                <w:noProof/>
                <w:sz w:val="22"/>
              </w:rPr>
              <w:t>Background</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_Toc491349929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8</w:t>
            </w:r>
            <w:r w:rsidR="002E5845" w:rsidRPr="002E5845">
              <w:rPr>
                <w:noProof/>
                <w:webHidden/>
                <w:sz w:val="22"/>
              </w:rPr>
              <w:fldChar w:fldCharType="end"/>
            </w:r>
          </w:hyperlink>
        </w:p>
        <w:p w14:paraId="2DF365A7"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30" w:history="1">
            <w:r w:rsidR="002E5845" w:rsidRPr="002E5845">
              <w:rPr>
                <w:rStyle w:val="Hyperlink"/>
                <w:noProof/>
                <w:sz w:val="22"/>
              </w:rPr>
              <w:t>Emissions Control</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_Toc491349930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10</w:t>
            </w:r>
            <w:r w:rsidR="002E5845" w:rsidRPr="002E5845">
              <w:rPr>
                <w:noProof/>
                <w:webHidden/>
                <w:sz w:val="22"/>
              </w:rPr>
              <w:fldChar w:fldCharType="end"/>
            </w:r>
          </w:hyperlink>
        </w:p>
        <w:p w14:paraId="6D8F77CE"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31" w:history="1">
            <w:r w:rsidR="002E5845" w:rsidRPr="002E5845">
              <w:rPr>
                <w:rStyle w:val="Hyperlink"/>
                <w:noProof/>
                <w:sz w:val="22"/>
              </w:rPr>
              <w:t>Opportunities for Further Emissions Reductions</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_Toc491349931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12</w:t>
            </w:r>
            <w:r w:rsidR="002E5845" w:rsidRPr="002E5845">
              <w:rPr>
                <w:noProof/>
                <w:webHidden/>
                <w:sz w:val="22"/>
              </w:rPr>
              <w:fldChar w:fldCharType="end"/>
            </w:r>
          </w:hyperlink>
        </w:p>
        <w:p w14:paraId="33F40642" w14:textId="77777777" w:rsidR="002E5845" w:rsidRPr="002E5845" w:rsidRDefault="00066219" w:rsidP="002E5845">
          <w:pPr>
            <w:pStyle w:val="TOC2"/>
            <w:spacing w:after="0"/>
            <w:rPr>
              <w:rFonts w:asciiTheme="minorHAnsi" w:eastAsiaTheme="minorEastAsia" w:hAnsiTheme="minorHAnsi"/>
              <w:noProof/>
              <w:sz w:val="22"/>
            </w:rPr>
          </w:pPr>
          <w:hyperlink w:anchor="_Toc491349932" w:history="1">
            <w:r w:rsidR="002E5845" w:rsidRPr="002E5845">
              <w:rPr>
                <w:rStyle w:val="Hyperlink"/>
                <w:noProof/>
                <w:sz w:val="22"/>
              </w:rPr>
              <w:t>Cement Manufacturing</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_Toc491349932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14</w:t>
            </w:r>
            <w:r w:rsidR="002E5845" w:rsidRPr="002E5845">
              <w:rPr>
                <w:noProof/>
                <w:webHidden/>
                <w:sz w:val="22"/>
              </w:rPr>
              <w:fldChar w:fldCharType="end"/>
            </w:r>
          </w:hyperlink>
        </w:p>
        <w:p w14:paraId="33A0E586"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33" w:history="1">
            <w:r w:rsidR="002E5845" w:rsidRPr="002E5845">
              <w:rPr>
                <w:rStyle w:val="Hyperlink"/>
                <w:noProof/>
                <w:sz w:val="22"/>
              </w:rPr>
              <w:t>Cement Plants in the OTR and CSAPR Update States</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_Toc491349933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14</w:t>
            </w:r>
            <w:r w:rsidR="002E5845" w:rsidRPr="002E5845">
              <w:rPr>
                <w:noProof/>
                <w:webHidden/>
                <w:sz w:val="22"/>
              </w:rPr>
              <w:fldChar w:fldCharType="end"/>
            </w:r>
          </w:hyperlink>
        </w:p>
        <w:p w14:paraId="3E920D76"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34" w:history="1">
            <w:r w:rsidR="002E5845" w:rsidRPr="002E5845">
              <w:rPr>
                <w:rStyle w:val="Hyperlink"/>
                <w:noProof/>
                <w:sz w:val="22"/>
              </w:rPr>
              <w:t>Background</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_Toc491349934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14</w:t>
            </w:r>
            <w:r w:rsidR="002E5845" w:rsidRPr="002E5845">
              <w:rPr>
                <w:noProof/>
                <w:webHidden/>
                <w:sz w:val="22"/>
              </w:rPr>
              <w:fldChar w:fldCharType="end"/>
            </w:r>
          </w:hyperlink>
        </w:p>
        <w:p w14:paraId="041B4229"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35" w:history="1">
            <w:r w:rsidR="002E5845" w:rsidRPr="002E5845">
              <w:rPr>
                <w:rStyle w:val="Hyperlink"/>
                <w:noProof/>
                <w:sz w:val="22"/>
              </w:rPr>
              <w:t>Existing NOx Emissions Control</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_Toc491349935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17</w:t>
            </w:r>
            <w:r w:rsidR="002E5845" w:rsidRPr="002E5845">
              <w:rPr>
                <w:noProof/>
                <w:webHidden/>
                <w:sz w:val="22"/>
              </w:rPr>
              <w:fldChar w:fldCharType="end"/>
            </w:r>
          </w:hyperlink>
        </w:p>
        <w:p w14:paraId="24C5CDA7"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36" w:history="1">
            <w:r w:rsidR="002E5845" w:rsidRPr="002E5845">
              <w:rPr>
                <w:rStyle w:val="Hyperlink"/>
                <w:noProof/>
                <w:sz w:val="22"/>
              </w:rPr>
              <w:t>EPA Rules Affecting Cement Plants</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_Toc491349936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18</w:t>
            </w:r>
            <w:r w:rsidR="002E5845" w:rsidRPr="002E5845">
              <w:rPr>
                <w:noProof/>
                <w:webHidden/>
                <w:sz w:val="22"/>
              </w:rPr>
              <w:fldChar w:fldCharType="end"/>
            </w:r>
          </w:hyperlink>
        </w:p>
        <w:p w14:paraId="536F4055"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37" w:history="1">
            <w:r w:rsidR="002E5845" w:rsidRPr="002E5845">
              <w:rPr>
                <w:rStyle w:val="Hyperlink"/>
                <w:noProof/>
                <w:sz w:val="22"/>
              </w:rPr>
              <w:t>OTC Cement Kiln Review and Recommendations</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_Toc491349937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19</w:t>
            </w:r>
            <w:r w:rsidR="002E5845" w:rsidRPr="002E5845">
              <w:rPr>
                <w:noProof/>
                <w:webHidden/>
                <w:sz w:val="22"/>
              </w:rPr>
              <w:fldChar w:fldCharType="end"/>
            </w:r>
          </w:hyperlink>
        </w:p>
        <w:p w14:paraId="6E03CD59" w14:textId="77777777" w:rsidR="002E5845" w:rsidRPr="002E5845" w:rsidRDefault="00066219" w:rsidP="002E5845">
          <w:pPr>
            <w:pStyle w:val="TOC3"/>
            <w:spacing w:after="0" w:line="276" w:lineRule="auto"/>
            <w:rPr>
              <w:rFonts w:asciiTheme="minorHAnsi" w:eastAsiaTheme="minorEastAsia" w:hAnsiTheme="minorHAnsi"/>
              <w:noProof/>
              <w:sz w:val="22"/>
            </w:rPr>
          </w:pPr>
          <w:hyperlink w:anchor="_Toc491349938" w:history="1">
            <w:r w:rsidR="002E5845" w:rsidRPr="002E5845">
              <w:rPr>
                <w:rStyle w:val="Hyperlink"/>
                <w:noProof/>
                <w:sz w:val="22"/>
              </w:rPr>
              <w:t>Recommendations for NOx Emissions Control</w:t>
            </w:r>
            <w:r w:rsidR="002E5845" w:rsidRPr="002E5845">
              <w:rPr>
                <w:noProof/>
                <w:webHidden/>
                <w:sz w:val="22"/>
              </w:rPr>
              <w:tab/>
            </w:r>
            <w:r w:rsidR="002E5845" w:rsidRPr="002E5845">
              <w:rPr>
                <w:noProof/>
                <w:webHidden/>
                <w:sz w:val="22"/>
              </w:rPr>
              <w:fldChar w:fldCharType="begin"/>
            </w:r>
            <w:r w:rsidR="002E5845" w:rsidRPr="002E5845">
              <w:rPr>
                <w:noProof/>
                <w:webHidden/>
                <w:sz w:val="22"/>
              </w:rPr>
              <w:instrText xml:space="preserve"> PAGEREF _Toc491349938 \h </w:instrText>
            </w:r>
            <w:r w:rsidR="002E5845" w:rsidRPr="002E5845">
              <w:rPr>
                <w:noProof/>
                <w:webHidden/>
                <w:sz w:val="22"/>
              </w:rPr>
            </w:r>
            <w:r w:rsidR="002E5845" w:rsidRPr="002E5845">
              <w:rPr>
                <w:noProof/>
                <w:webHidden/>
                <w:sz w:val="22"/>
              </w:rPr>
              <w:fldChar w:fldCharType="separate"/>
            </w:r>
            <w:r w:rsidR="002E5845" w:rsidRPr="002E5845">
              <w:rPr>
                <w:noProof/>
                <w:webHidden/>
                <w:sz w:val="22"/>
              </w:rPr>
              <w:t>19</w:t>
            </w:r>
            <w:r w:rsidR="002E5845" w:rsidRPr="002E5845">
              <w:rPr>
                <w:noProof/>
                <w:webHidden/>
                <w:sz w:val="22"/>
              </w:rPr>
              <w:fldChar w:fldCharType="end"/>
            </w:r>
          </w:hyperlink>
        </w:p>
        <w:p w14:paraId="22E9D2AF" w14:textId="77777777" w:rsidR="00D96CF1" w:rsidRPr="002E5845" w:rsidRDefault="00190587" w:rsidP="002E5845">
          <w:pPr>
            <w:rPr>
              <w:sz w:val="22"/>
            </w:rPr>
          </w:pPr>
          <w:r w:rsidRPr="002E5845">
            <w:rPr>
              <w:b/>
              <w:bCs/>
              <w:noProof/>
              <w:sz w:val="22"/>
            </w:rPr>
            <w:fldChar w:fldCharType="end"/>
          </w:r>
        </w:p>
      </w:sdtContent>
    </w:sdt>
    <w:p w14:paraId="7F444715" w14:textId="77777777" w:rsidR="009047E6" w:rsidRPr="008B55A1" w:rsidRDefault="008B55A1" w:rsidP="001833CC">
      <w:pPr>
        <w:pStyle w:val="TableofFigures"/>
        <w:tabs>
          <w:tab w:val="left" w:pos="1100"/>
          <w:tab w:val="right" w:leader="dot" w:pos="9350"/>
        </w:tabs>
        <w:spacing w:after="60"/>
        <w:rPr>
          <w:rFonts w:asciiTheme="minorHAnsi" w:hAnsiTheme="minorHAnsi"/>
          <w:b/>
          <w:noProof/>
          <w:sz w:val="24"/>
          <w:szCs w:val="24"/>
        </w:rPr>
      </w:pPr>
      <w:r w:rsidRPr="008B55A1">
        <w:rPr>
          <w:rFonts w:asciiTheme="minorHAnsi" w:hAnsiTheme="minorHAnsi"/>
          <w:b/>
          <w:noProof/>
          <w:sz w:val="24"/>
          <w:szCs w:val="24"/>
        </w:rPr>
        <w:t>List of Figures</w:t>
      </w:r>
    </w:p>
    <w:p w14:paraId="7967E3B7" w14:textId="77777777" w:rsidR="008B55A1" w:rsidRPr="008B55A1" w:rsidRDefault="00190587">
      <w:pPr>
        <w:pStyle w:val="TableofFigures"/>
        <w:tabs>
          <w:tab w:val="right" w:leader="dot" w:pos="9350"/>
        </w:tabs>
        <w:rPr>
          <w:rFonts w:asciiTheme="minorHAnsi" w:eastAsiaTheme="minorEastAsia" w:hAnsiTheme="minorHAnsi"/>
          <w:noProof/>
        </w:rPr>
      </w:pPr>
      <w:r w:rsidRPr="008B55A1">
        <w:fldChar w:fldCharType="begin"/>
      </w:r>
      <w:r w:rsidR="001833CC" w:rsidRPr="008B55A1">
        <w:instrText xml:space="preserve"> TOC \h \z \c "Figure" </w:instrText>
      </w:r>
      <w:r w:rsidRPr="008B55A1">
        <w:fldChar w:fldCharType="separate"/>
      </w:r>
      <w:hyperlink w:anchor="_Toc491350003" w:history="1">
        <w:r w:rsidR="008B55A1" w:rsidRPr="008B55A1">
          <w:rPr>
            <w:rStyle w:val="Hyperlink"/>
            <w:noProof/>
          </w:rPr>
          <w:t>Figure 1  States within OTR and in CSAPR Update</w:t>
        </w:r>
        <w:r w:rsidR="008B55A1" w:rsidRPr="008B55A1">
          <w:rPr>
            <w:noProof/>
            <w:webHidden/>
          </w:rPr>
          <w:tab/>
        </w:r>
        <w:r w:rsidR="008B55A1" w:rsidRPr="008B55A1">
          <w:rPr>
            <w:noProof/>
            <w:webHidden/>
          </w:rPr>
          <w:fldChar w:fldCharType="begin"/>
        </w:r>
        <w:r w:rsidR="008B55A1" w:rsidRPr="008B55A1">
          <w:rPr>
            <w:noProof/>
            <w:webHidden/>
          </w:rPr>
          <w:instrText xml:space="preserve"> PAGEREF _Toc491350003 \h </w:instrText>
        </w:r>
        <w:r w:rsidR="008B55A1" w:rsidRPr="008B55A1">
          <w:rPr>
            <w:noProof/>
            <w:webHidden/>
          </w:rPr>
        </w:r>
        <w:r w:rsidR="008B55A1" w:rsidRPr="008B55A1">
          <w:rPr>
            <w:noProof/>
            <w:webHidden/>
          </w:rPr>
          <w:fldChar w:fldCharType="separate"/>
        </w:r>
        <w:r w:rsidR="008B55A1" w:rsidRPr="008B55A1">
          <w:rPr>
            <w:noProof/>
            <w:webHidden/>
          </w:rPr>
          <w:t>4</w:t>
        </w:r>
        <w:r w:rsidR="008B55A1" w:rsidRPr="008B55A1">
          <w:rPr>
            <w:noProof/>
            <w:webHidden/>
          </w:rPr>
          <w:fldChar w:fldCharType="end"/>
        </w:r>
      </w:hyperlink>
    </w:p>
    <w:p w14:paraId="2197E3AF" w14:textId="77777777" w:rsidR="008B55A1" w:rsidRPr="008B55A1" w:rsidRDefault="00066219">
      <w:pPr>
        <w:pStyle w:val="TableofFigures"/>
        <w:tabs>
          <w:tab w:val="right" w:leader="dot" w:pos="9350"/>
        </w:tabs>
        <w:rPr>
          <w:rFonts w:asciiTheme="minorHAnsi" w:eastAsiaTheme="minorEastAsia" w:hAnsiTheme="minorHAnsi"/>
          <w:noProof/>
        </w:rPr>
      </w:pPr>
      <w:hyperlink w:anchor="_Toc491350004" w:history="1">
        <w:r w:rsidR="008B55A1" w:rsidRPr="008B55A1">
          <w:rPr>
            <w:rStyle w:val="Hyperlink"/>
            <w:noProof/>
          </w:rPr>
          <w:t>Figure 2</w:t>
        </w:r>
        <w:r w:rsidR="008B55A1" w:rsidRPr="008B55A1">
          <w:rPr>
            <w:rStyle w:val="Hyperlink"/>
            <w:bCs/>
            <w:noProof/>
          </w:rPr>
          <w:t xml:space="preserve">  Top Non-EGU Stationary Source Categories of NOx Emissions in OTR States (Panel A) and in CSPAR Update + OTR States (Panel B), excluding EGUs, Airport LTO, and the state of Virginia</w:t>
        </w:r>
        <w:r w:rsidR="008B55A1" w:rsidRPr="008B55A1">
          <w:rPr>
            <w:noProof/>
            <w:webHidden/>
          </w:rPr>
          <w:tab/>
        </w:r>
        <w:r w:rsidR="008B55A1" w:rsidRPr="008B55A1">
          <w:rPr>
            <w:noProof/>
            <w:webHidden/>
          </w:rPr>
          <w:fldChar w:fldCharType="begin"/>
        </w:r>
        <w:r w:rsidR="008B55A1" w:rsidRPr="008B55A1">
          <w:rPr>
            <w:noProof/>
            <w:webHidden/>
          </w:rPr>
          <w:instrText xml:space="preserve"> PAGEREF _Toc491350004 \h </w:instrText>
        </w:r>
        <w:r w:rsidR="008B55A1" w:rsidRPr="008B55A1">
          <w:rPr>
            <w:noProof/>
            <w:webHidden/>
          </w:rPr>
        </w:r>
        <w:r w:rsidR="008B55A1" w:rsidRPr="008B55A1">
          <w:rPr>
            <w:noProof/>
            <w:webHidden/>
          </w:rPr>
          <w:fldChar w:fldCharType="separate"/>
        </w:r>
        <w:r w:rsidR="008B55A1" w:rsidRPr="008B55A1">
          <w:rPr>
            <w:noProof/>
            <w:webHidden/>
          </w:rPr>
          <w:t>7</w:t>
        </w:r>
        <w:r w:rsidR="008B55A1" w:rsidRPr="008B55A1">
          <w:rPr>
            <w:noProof/>
            <w:webHidden/>
          </w:rPr>
          <w:fldChar w:fldCharType="end"/>
        </w:r>
      </w:hyperlink>
    </w:p>
    <w:p w14:paraId="5B068252" w14:textId="77777777" w:rsidR="008B55A1" w:rsidRPr="008B55A1" w:rsidRDefault="00066219">
      <w:pPr>
        <w:pStyle w:val="TableofFigures"/>
        <w:tabs>
          <w:tab w:val="right" w:leader="dot" w:pos="9350"/>
        </w:tabs>
        <w:rPr>
          <w:rFonts w:asciiTheme="minorHAnsi" w:eastAsiaTheme="minorEastAsia" w:hAnsiTheme="minorHAnsi"/>
          <w:noProof/>
        </w:rPr>
      </w:pPr>
      <w:hyperlink w:anchor="_Toc491350005" w:history="1">
        <w:r w:rsidR="008B55A1" w:rsidRPr="008B55A1">
          <w:rPr>
            <w:rStyle w:val="Hyperlink"/>
            <w:noProof/>
          </w:rPr>
          <w:t>Figure 3  Pipeline Transportation of Natural Gas NOx Emissions for CSAPRU and OTR States showing facilities emitting ≥50 tons per year</w:t>
        </w:r>
        <w:r w:rsidR="008B55A1" w:rsidRPr="008B55A1">
          <w:rPr>
            <w:noProof/>
            <w:webHidden/>
          </w:rPr>
          <w:tab/>
        </w:r>
        <w:r w:rsidR="008B55A1" w:rsidRPr="008B55A1">
          <w:rPr>
            <w:noProof/>
            <w:webHidden/>
          </w:rPr>
          <w:fldChar w:fldCharType="begin"/>
        </w:r>
        <w:r w:rsidR="008B55A1" w:rsidRPr="008B55A1">
          <w:rPr>
            <w:noProof/>
            <w:webHidden/>
          </w:rPr>
          <w:instrText xml:space="preserve"> PAGEREF _Toc491350005 \h </w:instrText>
        </w:r>
        <w:r w:rsidR="008B55A1" w:rsidRPr="008B55A1">
          <w:rPr>
            <w:noProof/>
            <w:webHidden/>
          </w:rPr>
        </w:r>
        <w:r w:rsidR="008B55A1" w:rsidRPr="008B55A1">
          <w:rPr>
            <w:noProof/>
            <w:webHidden/>
          </w:rPr>
          <w:fldChar w:fldCharType="separate"/>
        </w:r>
        <w:r w:rsidR="008B55A1" w:rsidRPr="008B55A1">
          <w:rPr>
            <w:noProof/>
            <w:webHidden/>
          </w:rPr>
          <w:t>8</w:t>
        </w:r>
        <w:r w:rsidR="008B55A1" w:rsidRPr="008B55A1">
          <w:rPr>
            <w:noProof/>
            <w:webHidden/>
          </w:rPr>
          <w:fldChar w:fldCharType="end"/>
        </w:r>
      </w:hyperlink>
    </w:p>
    <w:p w14:paraId="23C26426" w14:textId="77777777" w:rsidR="008B55A1" w:rsidRPr="008B55A1" w:rsidRDefault="00066219">
      <w:pPr>
        <w:pStyle w:val="TableofFigures"/>
        <w:tabs>
          <w:tab w:val="right" w:leader="dot" w:pos="9350"/>
        </w:tabs>
        <w:rPr>
          <w:rFonts w:asciiTheme="minorHAnsi" w:eastAsiaTheme="minorEastAsia" w:hAnsiTheme="minorHAnsi"/>
          <w:noProof/>
        </w:rPr>
      </w:pPr>
      <w:hyperlink w:anchor="_Toc491350006" w:history="1">
        <w:r w:rsidR="008B55A1" w:rsidRPr="008B55A1">
          <w:rPr>
            <w:rStyle w:val="Hyperlink"/>
            <w:noProof/>
          </w:rPr>
          <w:t>Figure 4  Overview of Oil &amp; Gas Pipeline System</w:t>
        </w:r>
        <w:r w:rsidR="008B55A1" w:rsidRPr="008B55A1">
          <w:rPr>
            <w:noProof/>
            <w:webHidden/>
          </w:rPr>
          <w:tab/>
        </w:r>
        <w:r w:rsidR="008B55A1" w:rsidRPr="008B55A1">
          <w:rPr>
            <w:noProof/>
            <w:webHidden/>
          </w:rPr>
          <w:fldChar w:fldCharType="begin"/>
        </w:r>
        <w:r w:rsidR="008B55A1" w:rsidRPr="008B55A1">
          <w:rPr>
            <w:noProof/>
            <w:webHidden/>
          </w:rPr>
          <w:instrText xml:space="preserve"> PAGEREF _Toc491350006 \h </w:instrText>
        </w:r>
        <w:r w:rsidR="008B55A1" w:rsidRPr="008B55A1">
          <w:rPr>
            <w:noProof/>
            <w:webHidden/>
          </w:rPr>
        </w:r>
        <w:r w:rsidR="008B55A1" w:rsidRPr="008B55A1">
          <w:rPr>
            <w:noProof/>
            <w:webHidden/>
          </w:rPr>
          <w:fldChar w:fldCharType="separate"/>
        </w:r>
        <w:r w:rsidR="008B55A1" w:rsidRPr="008B55A1">
          <w:rPr>
            <w:noProof/>
            <w:webHidden/>
          </w:rPr>
          <w:t>10</w:t>
        </w:r>
        <w:r w:rsidR="008B55A1" w:rsidRPr="008B55A1">
          <w:rPr>
            <w:noProof/>
            <w:webHidden/>
          </w:rPr>
          <w:fldChar w:fldCharType="end"/>
        </w:r>
      </w:hyperlink>
    </w:p>
    <w:p w14:paraId="7388CFE8" w14:textId="77777777" w:rsidR="008B55A1" w:rsidRPr="008B55A1" w:rsidRDefault="00066219">
      <w:pPr>
        <w:pStyle w:val="TableofFigures"/>
        <w:tabs>
          <w:tab w:val="right" w:leader="dot" w:pos="9350"/>
        </w:tabs>
        <w:rPr>
          <w:rFonts w:asciiTheme="minorHAnsi" w:eastAsiaTheme="minorEastAsia" w:hAnsiTheme="minorHAnsi"/>
          <w:noProof/>
        </w:rPr>
      </w:pPr>
      <w:hyperlink w:anchor="_Toc491350007" w:history="1">
        <w:r w:rsidR="008B55A1" w:rsidRPr="008B55A1">
          <w:rPr>
            <w:rStyle w:val="Hyperlink"/>
            <w:noProof/>
          </w:rPr>
          <w:t>Figure 5  NOx Emissions from Cement Manufacturing Sector in OTR and CSAPR U region</w:t>
        </w:r>
        <w:r w:rsidR="008B55A1" w:rsidRPr="008B55A1">
          <w:rPr>
            <w:noProof/>
            <w:webHidden/>
          </w:rPr>
          <w:tab/>
        </w:r>
        <w:r w:rsidR="008B55A1" w:rsidRPr="008B55A1">
          <w:rPr>
            <w:noProof/>
            <w:webHidden/>
          </w:rPr>
          <w:fldChar w:fldCharType="begin"/>
        </w:r>
        <w:r w:rsidR="008B55A1" w:rsidRPr="008B55A1">
          <w:rPr>
            <w:noProof/>
            <w:webHidden/>
          </w:rPr>
          <w:instrText xml:space="preserve"> PAGEREF _Toc491350007 \h </w:instrText>
        </w:r>
        <w:r w:rsidR="008B55A1" w:rsidRPr="008B55A1">
          <w:rPr>
            <w:noProof/>
            <w:webHidden/>
          </w:rPr>
        </w:r>
        <w:r w:rsidR="008B55A1" w:rsidRPr="008B55A1">
          <w:rPr>
            <w:noProof/>
            <w:webHidden/>
          </w:rPr>
          <w:fldChar w:fldCharType="separate"/>
        </w:r>
        <w:r w:rsidR="008B55A1" w:rsidRPr="008B55A1">
          <w:rPr>
            <w:noProof/>
            <w:webHidden/>
          </w:rPr>
          <w:t>14</w:t>
        </w:r>
        <w:r w:rsidR="008B55A1" w:rsidRPr="008B55A1">
          <w:rPr>
            <w:noProof/>
            <w:webHidden/>
          </w:rPr>
          <w:fldChar w:fldCharType="end"/>
        </w:r>
      </w:hyperlink>
    </w:p>
    <w:p w14:paraId="629CE9C5" w14:textId="77777777" w:rsidR="008B55A1" w:rsidRPr="008B55A1" w:rsidRDefault="00066219">
      <w:pPr>
        <w:pStyle w:val="TableofFigures"/>
        <w:tabs>
          <w:tab w:val="right" w:leader="dot" w:pos="9350"/>
        </w:tabs>
        <w:rPr>
          <w:rFonts w:asciiTheme="minorHAnsi" w:eastAsiaTheme="minorEastAsia" w:hAnsiTheme="minorHAnsi"/>
          <w:noProof/>
        </w:rPr>
      </w:pPr>
      <w:hyperlink w:anchor="_Toc491350008" w:history="1">
        <w:r w:rsidR="008B55A1" w:rsidRPr="008B55A1">
          <w:rPr>
            <w:rStyle w:val="Hyperlink"/>
            <w:noProof/>
          </w:rPr>
          <w:t>Figure 6  Schematic of a Cement Kiln Operation</w:t>
        </w:r>
        <w:r w:rsidR="008B55A1" w:rsidRPr="008B55A1">
          <w:rPr>
            <w:noProof/>
            <w:webHidden/>
          </w:rPr>
          <w:tab/>
        </w:r>
        <w:r w:rsidR="008B55A1" w:rsidRPr="008B55A1">
          <w:rPr>
            <w:noProof/>
            <w:webHidden/>
          </w:rPr>
          <w:fldChar w:fldCharType="begin"/>
        </w:r>
        <w:r w:rsidR="008B55A1" w:rsidRPr="008B55A1">
          <w:rPr>
            <w:noProof/>
            <w:webHidden/>
          </w:rPr>
          <w:instrText xml:space="preserve"> PAGEREF _Toc491350008 \h </w:instrText>
        </w:r>
        <w:r w:rsidR="008B55A1" w:rsidRPr="008B55A1">
          <w:rPr>
            <w:noProof/>
            <w:webHidden/>
          </w:rPr>
        </w:r>
        <w:r w:rsidR="008B55A1" w:rsidRPr="008B55A1">
          <w:rPr>
            <w:noProof/>
            <w:webHidden/>
          </w:rPr>
          <w:fldChar w:fldCharType="separate"/>
        </w:r>
        <w:r w:rsidR="008B55A1" w:rsidRPr="008B55A1">
          <w:rPr>
            <w:noProof/>
            <w:webHidden/>
          </w:rPr>
          <w:t>15</w:t>
        </w:r>
        <w:r w:rsidR="008B55A1" w:rsidRPr="008B55A1">
          <w:rPr>
            <w:noProof/>
            <w:webHidden/>
          </w:rPr>
          <w:fldChar w:fldCharType="end"/>
        </w:r>
      </w:hyperlink>
    </w:p>
    <w:p w14:paraId="38C11963" w14:textId="77777777" w:rsidR="008B55A1" w:rsidRPr="008B55A1" w:rsidRDefault="00066219">
      <w:pPr>
        <w:pStyle w:val="TableofFigures"/>
        <w:tabs>
          <w:tab w:val="right" w:leader="dot" w:pos="9350"/>
        </w:tabs>
        <w:rPr>
          <w:rFonts w:asciiTheme="minorHAnsi" w:eastAsiaTheme="minorEastAsia" w:hAnsiTheme="minorHAnsi"/>
          <w:noProof/>
        </w:rPr>
      </w:pPr>
      <w:hyperlink w:anchor="_Toc491350009" w:history="1">
        <w:r w:rsidR="008B55A1" w:rsidRPr="008B55A1">
          <w:rPr>
            <w:rStyle w:val="Hyperlink"/>
            <w:noProof/>
          </w:rPr>
          <w:t xml:space="preserve">Figure 7  Components of a </w:t>
        </w:r>
        <w:r w:rsidR="008B55A1" w:rsidRPr="008B55A1">
          <w:rPr>
            <w:rStyle w:val="Hyperlink"/>
            <w:rFonts w:cs="Arial"/>
            <w:noProof/>
            <w:shd w:val="clear" w:color="auto" w:fill="FFFFFF"/>
          </w:rPr>
          <w:t xml:space="preserve">Dry Process </w:t>
        </w:r>
        <w:r w:rsidR="008B55A1" w:rsidRPr="008B55A1">
          <w:rPr>
            <w:rStyle w:val="Hyperlink"/>
            <w:noProof/>
          </w:rPr>
          <w:t>Precalciner Cement Kiln</w:t>
        </w:r>
        <w:r w:rsidR="008B55A1" w:rsidRPr="008B55A1">
          <w:rPr>
            <w:noProof/>
            <w:webHidden/>
          </w:rPr>
          <w:tab/>
        </w:r>
        <w:r w:rsidR="008B55A1" w:rsidRPr="008B55A1">
          <w:rPr>
            <w:noProof/>
            <w:webHidden/>
          </w:rPr>
          <w:fldChar w:fldCharType="begin"/>
        </w:r>
        <w:r w:rsidR="008B55A1" w:rsidRPr="008B55A1">
          <w:rPr>
            <w:noProof/>
            <w:webHidden/>
          </w:rPr>
          <w:instrText xml:space="preserve"> PAGEREF _Toc491350009 \h </w:instrText>
        </w:r>
        <w:r w:rsidR="008B55A1" w:rsidRPr="008B55A1">
          <w:rPr>
            <w:noProof/>
            <w:webHidden/>
          </w:rPr>
        </w:r>
        <w:r w:rsidR="008B55A1" w:rsidRPr="008B55A1">
          <w:rPr>
            <w:noProof/>
            <w:webHidden/>
          </w:rPr>
          <w:fldChar w:fldCharType="separate"/>
        </w:r>
        <w:r w:rsidR="008B55A1" w:rsidRPr="008B55A1">
          <w:rPr>
            <w:noProof/>
            <w:webHidden/>
          </w:rPr>
          <w:t>16</w:t>
        </w:r>
        <w:r w:rsidR="008B55A1" w:rsidRPr="008B55A1">
          <w:rPr>
            <w:noProof/>
            <w:webHidden/>
          </w:rPr>
          <w:fldChar w:fldCharType="end"/>
        </w:r>
      </w:hyperlink>
    </w:p>
    <w:p w14:paraId="62F7B73D" w14:textId="77777777" w:rsidR="00950B47" w:rsidRPr="008B55A1" w:rsidRDefault="00190587" w:rsidP="006C21F2">
      <w:pPr>
        <w:rPr>
          <w:sz w:val="22"/>
        </w:rPr>
      </w:pPr>
      <w:r w:rsidRPr="008B55A1">
        <w:rPr>
          <w:sz w:val="22"/>
        </w:rPr>
        <w:fldChar w:fldCharType="end"/>
      </w:r>
    </w:p>
    <w:p w14:paraId="543D9BEA" w14:textId="77777777" w:rsidR="00484402" w:rsidRPr="008B55A1" w:rsidRDefault="008B55A1" w:rsidP="001833CC">
      <w:pPr>
        <w:pStyle w:val="TableofFigures"/>
        <w:tabs>
          <w:tab w:val="left" w:pos="1100"/>
          <w:tab w:val="right" w:leader="dot" w:pos="9350"/>
        </w:tabs>
        <w:spacing w:after="60"/>
        <w:rPr>
          <w:rFonts w:asciiTheme="minorHAnsi" w:hAnsiTheme="minorHAnsi"/>
          <w:b/>
          <w:noProof/>
          <w:sz w:val="24"/>
          <w:szCs w:val="24"/>
        </w:rPr>
      </w:pPr>
      <w:bookmarkStart w:id="3" w:name="OLE_LINK46"/>
      <w:bookmarkStart w:id="4" w:name="OLE_LINK47"/>
      <w:r w:rsidRPr="008B55A1">
        <w:rPr>
          <w:rFonts w:asciiTheme="minorHAnsi" w:hAnsiTheme="minorHAnsi"/>
          <w:b/>
          <w:noProof/>
          <w:sz w:val="24"/>
          <w:szCs w:val="24"/>
        </w:rPr>
        <w:t xml:space="preserve">List of </w:t>
      </w:r>
      <w:bookmarkEnd w:id="3"/>
      <w:bookmarkEnd w:id="4"/>
      <w:r w:rsidRPr="008B55A1">
        <w:rPr>
          <w:rFonts w:asciiTheme="minorHAnsi" w:hAnsiTheme="minorHAnsi"/>
          <w:b/>
          <w:noProof/>
          <w:sz w:val="24"/>
          <w:szCs w:val="24"/>
        </w:rPr>
        <w:t>Tables</w:t>
      </w:r>
    </w:p>
    <w:p w14:paraId="5A934A68" w14:textId="77777777" w:rsidR="006C21F2" w:rsidRPr="006C21F2" w:rsidRDefault="00190587">
      <w:pPr>
        <w:pStyle w:val="TableofFigures"/>
        <w:tabs>
          <w:tab w:val="right" w:leader="dot" w:pos="9350"/>
        </w:tabs>
        <w:rPr>
          <w:rFonts w:asciiTheme="minorHAnsi" w:eastAsiaTheme="minorEastAsia" w:hAnsiTheme="minorHAnsi"/>
          <w:noProof/>
        </w:rPr>
      </w:pPr>
      <w:r w:rsidRPr="006C21F2">
        <w:fldChar w:fldCharType="begin"/>
      </w:r>
      <w:r w:rsidR="00F13C33" w:rsidRPr="006C21F2">
        <w:instrText xml:space="preserve"> TOC \h \z \c "Table" </w:instrText>
      </w:r>
      <w:r w:rsidRPr="006C21F2">
        <w:fldChar w:fldCharType="separate"/>
      </w:r>
      <w:hyperlink w:anchor="_Toc491073910" w:history="1">
        <w:r w:rsidR="006C21F2" w:rsidRPr="006C21F2">
          <w:rPr>
            <w:rStyle w:val="Hyperlink"/>
            <w:noProof/>
          </w:rPr>
          <w:t xml:space="preserve">Table 1  </w:t>
        </w:r>
        <w:r w:rsidR="006C21F2" w:rsidRPr="006C21F2">
          <w:rPr>
            <w:rStyle w:val="Hyperlink"/>
            <w:rFonts w:cs="Arial"/>
            <w:noProof/>
          </w:rPr>
          <w:t xml:space="preserve">NOx Limits </w:t>
        </w:r>
        <w:r w:rsidR="006C21F2" w:rsidRPr="006C21F2">
          <w:rPr>
            <w:rStyle w:val="Hyperlink"/>
            <w:noProof/>
          </w:rPr>
          <w:t>for Pipeline Compressors</w:t>
        </w:r>
        <w:r w:rsidR="006C21F2" w:rsidRPr="006C21F2">
          <w:rPr>
            <w:noProof/>
            <w:webHidden/>
          </w:rPr>
          <w:tab/>
        </w:r>
        <w:r w:rsidR="006C21F2" w:rsidRPr="006C21F2">
          <w:rPr>
            <w:noProof/>
            <w:webHidden/>
          </w:rPr>
          <w:fldChar w:fldCharType="begin"/>
        </w:r>
        <w:r w:rsidR="006C21F2" w:rsidRPr="006C21F2">
          <w:rPr>
            <w:noProof/>
            <w:webHidden/>
          </w:rPr>
          <w:instrText xml:space="preserve"> PAGEREF _Toc491073910 \h </w:instrText>
        </w:r>
        <w:r w:rsidR="006C21F2" w:rsidRPr="006C21F2">
          <w:rPr>
            <w:noProof/>
            <w:webHidden/>
          </w:rPr>
        </w:r>
        <w:r w:rsidR="006C21F2" w:rsidRPr="006C21F2">
          <w:rPr>
            <w:noProof/>
            <w:webHidden/>
          </w:rPr>
          <w:fldChar w:fldCharType="separate"/>
        </w:r>
        <w:r w:rsidR="006C21F2" w:rsidRPr="006C21F2">
          <w:rPr>
            <w:noProof/>
            <w:webHidden/>
          </w:rPr>
          <w:t>10</w:t>
        </w:r>
        <w:r w:rsidR="006C21F2" w:rsidRPr="006C21F2">
          <w:rPr>
            <w:noProof/>
            <w:webHidden/>
          </w:rPr>
          <w:fldChar w:fldCharType="end"/>
        </w:r>
      </w:hyperlink>
    </w:p>
    <w:p w14:paraId="5F9A4EEC" w14:textId="77777777" w:rsidR="006C21F2" w:rsidRPr="006C21F2" w:rsidRDefault="00066219">
      <w:pPr>
        <w:pStyle w:val="TableofFigures"/>
        <w:tabs>
          <w:tab w:val="right" w:leader="dot" w:pos="9350"/>
        </w:tabs>
        <w:rPr>
          <w:rFonts w:asciiTheme="minorHAnsi" w:eastAsiaTheme="minorEastAsia" w:hAnsiTheme="minorHAnsi"/>
          <w:noProof/>
        </w:rPr>
      </w:pPr>
      <w:hyperlink w:anchor="_Toc491073911" w:history="1">
        <w:r w:rsidR="006C21F2" w:rsidRPr="006C21F2">
          <w:rPr>
            <w:rStyle w:val="Hyperlink"/>
            <w:noProof/>
          </w:rPr>
          <w:t xml:space="preserve">Table 2  </w:t>
        </w:r>
        <w:r w:rsidR="006C21F2" w:rsidRPr="006C21F2">
          <w:rPr>
            <w:rStyle w:val="Hyperlink"/>
            <w:rFonts w:cs="Calibri"/>
            <w:noProof/>
          </w:rPr>
          <w:t>Baseline VOC Emission Estimates for Reciprocating and Centrifugal Compressors</w:t>
        </w:r>
        <w:r w:rsidR="006C21F2" w:rsidRPr="006C21F2">
          <w:rPr>
            <w:rStyle w:val="Hyperlink"/>
            <w:rFonts w:cs="Calibri"/>
            <w:noProof/>
            <w:vertAlign w:val="superscript"/>
          </w:rPr>
          <w:t>a,</w:t>
        </w:r>
        <w:r w:rsidR="006C21F2" w:rsidRPr="006C21F2">
          <w:rPr>
            <w:noProof/>
            <w:webHidden/>
          </w:rPr>
          <w:tab/>
        </w:r>
        <w:r w:rsidR="006C21F2" w:rsidRPr="006C21F2">
          <w:rPr>
            <w:noProof/>
            <w:webHidden/>
          </w:rPr>
          <w:fldChar w:fldCharType="begin"/>
        </w:r>
        <w:r w:rsidR="006C21F2" w:rsidRPr="006C21F2">
          <w:rPr>
            <w:noProof/>
            <w:webHidden/>
          </w:rPr>
          <w:instrText xml:space="preserve"> PAGEREF _Toc491073911 \h </w:instrText>
        </w:r>
        <w:r w:rsidR="006C21F2" w:rsidRPr="006C21F2">
          <w:rPr>
            <w:noProof/>
            <w:webHidden/>
          </w:rPr>
        </w:r>
        <w:r w:rsidR="006C21F2" w:rsidRPr="006C21F2">
          <w:rPr>
            <w:noProof/>
            <w:webHidden/>
          </w:rPr>
          <w:fldChar w:fldCharType="separate"/>
        </w:r>
        <w:r w:rsidR="006C21F2" w:rsidRPr="006C21F2">
          <w:rPr>
            <w:noProof/>
            <w:webHidden/>
          </w:rPr>
          <w:t>12</w:t>
        </w:r>
        <w:r w:rsidR="006C21F2" w:rsidRPr="006C21F2">
          <w:rPr>
            <w:noProof/>
            <w:webHidden/>
          </w:rPr>
          <w:fldChar w:fldCharType="end"/>
        </w:r>
      </w:hyperlink>
    </w:p>
    <w:p w14:paraId="3DD29717" w14:textId="77777777" w:rsidR="006C21F2" w:rsidRPr="006C21F2" w:rsidRDefault="00066219">
      <w:pPr>
        <w:pStyle w:val="TableofFigures"/>
        <w:tabs>
          <w:tab w:val="right" w:leader="dot" w:pos="9350"/>
        </w:tabs>
        <w:rPr>
          <w:rFonts w:asciiTheme="minorHAnsi" w:eastAsiaTheme="minorEastAsia" w:hAnsiTheme="minorHAnsi"/>
          <w:noProof/>
        </w:rPr>
      </w:pPr>
      <w:hyperlink w:anchor="_Toc491073912" w:history="1">
        <w:r w:rsidR="006C21F2" w:rsidRPr="006C21F2">
          <w:rPr>
            <w:rStyle w:val="Hyperlink"/>
            <w:noProof/>
          </w:rPr>
          <w:t>Table 3  Cost Effectiveness and Cost Burden of SNCR and SCR Systems</w:t>
        </w:r>
        <w:r w:rsidR="006C21F2" w:rsidRPr="006C21F2">
          <w:rPr>
            <w:noProof/>
            <w:webHidden/>
          </w:rPr>
          <w:tab/>
        </w:r>
        <w:r w:rsidR="006C21F2" w:rsidRPr="006C21F2">
          <w:rPr>
            <w:noProof/>
            <w:webHidden/>
          </w:rPr>
          <w:fldChar w:fldCharType="begin"/>
        </w:r>
        <w:r w:rsidR="006C21F2" w:rsidRPr="006C21F2">
          <w:rPr>
            <w:noProof/>
            <w:webHidden/>
          </w:rPr>
          <w:instrText xml:space="preserve"> PAGEREF _Toc491073912 \h </w:instrText>
        </w:r>
        <w:r w:rsidR="006C21F2" w:rsidRPr="006C21F2">
          <w:rPr>
            <w:noProof/>
            <w:webHidden/>
          </w:rPr>
        </w:r>
        <w:r w:rsidR="006C21F2" w:rsidRPr="006C21F2">
          <w:rPr>
            <w:noProof/>
            <w:webHidden/>
          </w:rPr>
          <w:fldChar w:fldCharType="separate"/>
        </w:r>
        <w:r w:rsidR="006C21F2" w:rsidRPr="006C21F2">
          <w:rPr>
            <w:noProof/>
            <w:webHidden/>
          </w:rPr>
          <w:t>18</w:t>
        </w:r>
        <w:r w:rsidR="006C21F2" w:rsidRPr="006C21F2">
          <w:rPr>
            <w:noProof/>
            <w:webHidden/>
          </w:rPr>
          <w:fldChar w:fldCharType="end"/>
        </w:r>
      </w:hyperlink>
    </w:p>
    <w:p w14:paraId="52FB21A6" w14:textId="77777777" w:rsidR="006C21F2" w:rsidRPr="006C21F2" w:rsidRDefault="00066219">
      <w:pPr>
        <w:pStyle w:val="TableofFigures"/>
        <w:tabs>
          <w:tab w:val="right" w:leader="dot" w:pos="9350"/>
        </w:tabs>
        <w:rPr>
          <w:rFonts w:asciiTheme="minorHAnsi" w:eastAsiaTheme="minorEastAsia" w:hAnsiTheme="minorHAnsi"/>
          <w:noProof/>
        </w:rPr>
      </w:pPr>
      <w:hyperlink w:anchor="_Toc491073913" w:history="1">
        <w:r w:rsidR="006C21F2" w:rsidRPr="006C21F2">
          <w:rPr>
            <w:rStyle w:val="Hyperlink"/>
            <w:noProof/>
          </w:rPr>
          <w:t xml:space="preserve">Table 4  </w:t>
        </w:r>
        <w:r w:rsidR="006C21F2" w:rsidRPr="006C21F2">
          <w:rPr>
            <w:rStyle w:val="Hyperlink"/>
            <w:rFonts w:cs="Calibri"/>
            <w:noProof/>
          </w:rPr>
          <w:t>Emission Guidelines for Cement Kilns per 2006 OTC Resolution</w:t>
        </w:r>
        <w:r w:rsidR="006C21F2" w:rsidRPr="006C21F2">
          <w:rPr>
            <w:noProof/>
            <w:webHidden/>
          </w:rPr>
          <w:tab/>
        </w:r>
        <w:r w:rsidR="006C21F2" w:rsidRPr="006C21F2">
          <w:rPr>
            <w:noProof/>
            <w:webHidden/>
          </w:rPr>
          <w:fldChar w:fldCharType="begin"/>
        </w:r>
        <w:r w:rsidR="006C21F2" w:rsidRPr="006C21F2">
          <w:rPr>
            <w:noProof/>
            <w:webHidden/>
          </w:rPr>
          <w:instrText xml:space="preserve"> PAGEREF _Toc491073913 \h </w:instrText>
        </w:r>
        <w:r w:rsidR="006C21F2" w:rsidRPr="006C21F2">
          <w:rPr>
            <w:noProof/>
            <w:webHidden/>
          </w:rPr>
        </w:r>
        <w:r w:rsidR="006C21F2" w:rsidRPr="006C21F2">
          <w:rPr>
            <w:noProof/>
            <w:webHidden/>
          </w:rPr>
          <w:fldChar w:fldCharType="separate"/>
        </w:r>
        <w:r w:rsidR="006C21F2" w:rsidRPr="006C21F2">
          <w:rPr>
            <w:noProof/>
            <w:webHidden/>
          </w:rPr>
          <w:t>19</w:t>
        </w:r>
        <w:r w:rsidR="006C21F2" w:rsidRPr="006C21F2">
          <w:rPr>
            <w:noProof/>
            <w:webHidden/>
          </w:rPr>
          <w:fldChar w:fldCharType="end"/>
        </w:r>
      </w:hyperlink>
    </w:p>
    <w:p w14:paraId="0746C469" w14:textId="77777777" w:rsidR="006C21F2" w:rsidRPr="006C21F2" w:rsidRDefault="00066219">
      <w:pPr>
        <w:pStyle w:val="TableofFigures"/>
        <w:tabs>
          <w:tab w:val="right" w:leader="dot" w:pos="9350"/>
        </w:tabs>
        <w:rPr>
          <w:rFonts w:asciiTheme="minorHAnsi" w:eastAsiaTheme="minorEastAsia" w:hAnsiTheme="minorHAnsi"/>
          <w:noProof/>
        </w:rPr>
      </w:pPr>
      <w:hyperlink w:anchor="_Toc491073914" w:history="1">
        <w:r w:rsidR="006C21F2" w:rsidRPr="006C21F2">
          <w:rPr>
            <w:rStyle w:val="Hyperlink"/>
            <w:noProof/>
          </w:rPr>
          <w:t>Table 5  Potential NOx Reduction from</w:t>
        </w:r>
        <w:r w:rsidR="006C21F2" w:rsidRPr="006C21F2">
          <w:rPr>
            <w:rStyle w:val="Hyperlink"/>
            <w:rFonts w:eastAsia="Times New Roman" w:cs="Times New Roman"/>
            <w:noProof/>
          </w:rPr>
          <w:t xml:space="preserve"> Cement Kilns in 19 States Within CSAPR U and OTR, </w:t>
        </w:r>
        <w:r w:rsidR="006C21F2" w:rsidRPr="006C21F2">
          <w:rPr>
            <w:rStyle w:val="Hyperlink"/>
            <w:rFonts w:eastAsia="Times New Roman" w:cs="Times New Roman"/>
            <w:bCs/>
            <w:noProof/>
          </w:rPr>
          <w:t>Regardless of Regulations</w:t>
        </w:r>
        <w:r w:rsidR="006C21F2" w:rsidRPr="006C21F2">
          <w:rPr>
            <w:noProof/>
            <w:webHidden/>
          </w:rPr>
          <w:tab/>
        </w:r>
        <w:r w:rsidR="006C21F2" w:rsidRPr="006C21F2">
          <w:rPr>
            <w:noProof/>
            <w:webHidden/>
          </w:rPr>
          <w:fldChar w:fldCharType="begin"/>
        </w:r>
        <w:r w:rsidR="006C21F2" w:rsidRPr="006C21F2">
          <w:rPr>
            <w:noProof/>
            <w:webHidden/>
          </w:rPr>
          <w:instrText xml:space="preserve"> PAGEREF _Toc491073914 \h </w:instrText>
        </w:r>
        <w:r w:rsidR="006C21F2" w:rsidRPr="006C21F2">
          <w:rPr>
            <w:noProof/>
            <w:webHidden/>
          </w:rPr>
        </w:r>
        <w:r w:rsidR="006C21F2" w:rsidRPr="006C21F2">
          <w:rPr>
            <w:noProof/>
            <w:webHidden/>
          </w:rPr>
          <w:fldChar w:fldCharType="separate"/>
        </w:r>
        <w:r w:rsidR="006C21F2" w:rsidRPr="006C21F2">
          <w:rPr>
            <w:noProof/>
            <w:webHidden/>
          </w:rPr>
          <w:t>20</w:t>
        </w:r>
        <w:r w:rsidR="006C21F2" w:rsidRPr="006C21F2">
          <w:rPr>
            <w:noProof/>
            <w:webHidden/>
          </w:rPr>
          <w:fldChar w:fldCharType="end"/>
        </w:r>
      </w:hyperlink>
    </w:p>
    <w:p w14:paraId="40E9A139" w14:textId="77777777" w:rsidR="0020144E" w:rsidRPr="006C21F2" w:rsidRDefault="00190587" w:rsidP="00060989">
      <w:pPr>
        <w:rPr>
          <w:sz w:val="22"/>
        </w:rPr>
      </w:pPr>
      <w:r w:rsidRPr="006C21F2">
        <w:rPr>
          <w:sz w:val="22"/>
        </w:rPr>
        <w:fldChar w:fldCharType="end"/>
      </w:r>
    </w:p>
    <w:p w14:paraId="5DDAE092" w14:textId="77777777" w:rsidR="00D96CF1" w:rsidRPr="005610E2" w:rsidRDefault="00D96CF1">
      <w:pPr>
        <w:rPr>
          <w:sz w:val="22"/>
        </w:rPr>
      </w:pPr>
      <w:r w:rsidRPr="005610E2">
        <w:rPr>
          <w:sz w:val="22"/>
        </w:rPr>
        <w:br w:type="page"/>
      </w:r>
    </w:p>
    <w:p w14:paraId="30E62B37" w14:textId="77777777" w:rsidR="00965BF2" w:rsidRPr="006B731F" w:rsidRDefault="00965BF2" w:rsidP="00965BF2">
      <w:pPr>
        <w:spacing w:before="240"/>
        <w:jc w:val="center"/>
        <w:rPr>
          <w:b/>
          <w:sz w:val="32"/>
          <w:szCs w:val="32"/>
        </w:rPr>
      </w:pPr>
      <w:bookmarkStart w:id="5" w:name="OLE_LINK3"/>
      <w:bookmarkStart w:id="6" w:name="OLE_LINK4"/>
      <w:r w:rsidRPr="00A72E0F">
        <w:rPr>
          <w:b/>
          <w:sz w:val="32"/>
          <w:szCs w:val="32"/>
        </w:rPr>
        <w:lastRenderedPageBreak/>
        <w:t xml:space="preserve">Recommendations on Control </w:t>
      </w:r>
      <w:bookmarkStart w:id="7" w:name="OLE_LINK7"/>
      <w:bookmarkStart w:id="8" w:name="OLE_LINK8"/>
      <w:r w:rsidRPr="00A72E0F">
        <w:rPr>
          <w:b/>
          <w:sz w:val="32"/>
          <w:szCs w:val="32"/>
        </w:rPr>
        <w:t xml:space="preserve">Measures </w:t>
      </w:r>
      <w:bookmarkEnd w:id="7"/>
      <w:bookmarkEnd w:id="8"/>
      <w:r w:rsidRPr="00A72E0F">
        <w:rPr>
          <w:b/>
          <w:sz w:val="32"/>
          <w:szCs w:val="32"/>
        </w:rPr>
        <w:t xml:space="preserve">for Nitrogen Oxides (NOx) Emissions from </w:t>
      </w:r>
      <w:r w:rsidR="00304C37">
        <w:rPr>
          <w:b/>
          <w:sz w:val="32"/>
          <w:szCs w:val="32"/>
        </w:rPr>
        <w:t>Two</w:t>
      </w:r>
      <w:r w:rsidRPr="00A72E0F">
        <w:rPr>
          <w:b/>
          <w:sz w:val="32"/>
          <w:szCs w:val="32"/>
        </w:rPr>
        <w:t xml:space="preserve"> </w:t>
      </w:r>
      <w:r w:rsidRPr="006B731F">
        <w:rPr>
          <w:b/>
          <w:sz w:val="32"/>
          <w:szCs w:val="32"/>
        </w:rPr>
        <w:t xml:space="preserve">Source Categories within </w:t>
      </w:r>
      <w:r w:rsidR="00BE4D8D">
        <w:rPr>
          <w:b/>
          <w:sz w:val="32"/>
          <w:szCs w:val="32"/>
        </w:rPr>
        <w:t>S</w:t>
      </w:r>
      <w:r w:rsidR="00BE4D8D" w:rsidRPr="006B731F">
        <w:rPr>
          <w:b/>
          <w:sz w:val="32"/>
          <w:szCs w:val="32"/>
        </w:rPr>
        <w:t xml:space="preserve">tates </w:t>
      </w:r>
      <w:r w:rsidRPr="006B731F">
        <w:rPr>
          <w:b/>
          <w:sz w:val="32"/>
          <w:szCs w:val="32"/>
        </w:rPr>
        <w:t>in the Ozone Transport Region and</w:t>
      </w:r>
      <w:r w:rsidRPr="006B731F">
        <w:rPr>
          <w:sz w:val="32"/>
          <w:szCs w:val="32"/>
        </w:rPr>
        <w:t xml:space="preserve"> </w:t>
      </w:r>
      <w:r w:rsidR="00A11BC9" w:rsidRPr="00094898">
        <w:rPr>
          <w:b/>
          <w:sz w:val="32"/>
          <w:szCs w:val="32"/>
        </w:rPr>
        <w:t>the</w:t>
      </w:r>
      <w:r w:rsidR="00A11BC9">
        <w:rPr>
          <w:sz w:val="32"/>
          <w:szCs w:val="32"/>
        </w:rPr>
        <w:t xml:space="preserve"> </w:t>
      </w:r>
      <w:r w:rsidRPr="006B731F">
        <w:rPr>
          <w:b/>
          <w:sz w:val="32"/>
          <w:szCs w:val="32"/>
        </w:rPr>
        <w:t xml:space="preserve">Cross-State Air Pollution Rule Update </w:t>
      </w:r>
    </w:p>
    <w:p w14:paraId="09149F39" w14:textId="77777777" w:rsidR="00965BF2" w:rsidRPr="00DF2CCC" w:rsidRDefault="00965BF2" w:rsidP="00984037">
      <w:pPr>
        <w:pStyle w:val="Heading2"/>
      </w:pPr>
      <w:bookmarkStart w:id="9" w:name="_Toc491349924"/>
      <w:bookmarkEnd w:id="5"/>
      <w:bookmarkEnd w:id="6"/>
      <w:r w:rsidRPr="00DF2CCC">
        <w:t>Purpose</w:t>
      </w:r>
      <w:bookmarkEnd w:id="9"/>
      <w:r w:rsidRPr="00DF2CCC">
        <w:t xml:space="preserve"> </w:t>
      </w:r>
    </w:p>
    <w:p w14:paraId="772CF0B2" w14:textId="77777777" w:rsidR="00965BF2" w:rsidRPr="00DF2CCC" w:rsidRDefault="00965BF2" w:rsidP="00965BF2">
      <w:pPr>
        <w:spacing w:after="120" w:line="259" w:lineRule="auto"/>
        <w:rPr>
          <w:szCs w:val="24"/>
        </w:rPr>
      </w:pPr>
      <w:r w:rsidRPr="00DF2CCC">
        <w:rPr>
          <w:szCs w:val="24"/>
        </w:rPr>
        <w:t xml:space="preserve">This </w:t>
      </w:r>
      <w:r>
        <w:rPr>
          <w:szCs w:val="24"/>
        </w:rPr>
        <w:t>report</w:t>
      </w:r>
      <w:r w:rsidRPr="00DF2CCC">
        <w:rPr>
          <w:szCs w:val="24"/>
        </w:rPr>
        <w:t xml:space="preserve"> </w:t>
      </w:r>
      <w:r>
        <w:rPr>
          <w:szCs w:val="24"/>
        </w:rPr>
        <w:t>offers recommendations</w:t>
      </w:r>
      <w:r w:rsidRPr="00DF2CCC">
        <w:rPr>
          <w:szCs w:val="24"/>
        </w:rPr>
        <w:t xml:space="preserve"> for nitrogen oxides (NOx) emissions</w:t>
      </w:r>
      <w:r>
        <w:rPr>
          <w:szCs w:val="24"/>
        </w:rPr>
        <w:t xml:space="preserve"> reduction from </w:t>
      </w:r>
      <w:r w:rsidR="00BA34F3">
        <w:rPr>
          <w:szCs w:val="24"/>
        </w:rPr>
        <w:t xml:space="preserve">two </w:t>
      </w:r>
      <w:r>
        <w:rPr>
          <w:szCs w:val="24"/>
        </w:rPr>
        <w:t>source categories within the</w:t>
      </w:r>
      <w:r w:rsidRPr="00DB06CD">
        <w:rPr>
          <w:szCs w:val="24"/>
        </w:rPr>
        <w:t xml:space="preserve"> </w:t>
      </w:r>
      <w:r>
        <w:rPr>
          <w:szCs w:val="24"/>
        </w:rPr>
        <w:t>member states of the Ozone Transport Commission (OTC</w:t>
      </w:r>
      <w:r w:rsidRPr="00181CAD">
        <w:rPr>
          <w:szCs w:val="24"/>
        </w:rPr>
        <w:t xml:space="preserve">) </w:t>
      </w:r>
      <w:r>
        <w:rPr>
          <w:szCs w:val="24"/>
        </w:rPr>
        <w:t xml:space="preserve">and those covered under the </w:t>
      </w:r>
      <w:r w:rsidRPr="006E49E8">
        <w:rPr>
          <w:szCs w:val="24"/>
        </w:rPr>
        <w:t xml:space="preserve">Cross-State Air Pollution Rule </w:t>
      </w:r>
      <w:r w:rsidRPr="00181CAD">
        <w:rPr>
          <w:szCs w:val="24"/>
        </w:rPr>
        <w:t>Update</w:t>
      </w:r>
      <w:r>
        <w:rPr>
          <w:szCs w:val="24"/>
        </w:rPr>
        <w:t xml:space="preserve"> (CSAPR U)</w:t>
      </w:r>
      <w:r w:rsidRPr="00DF2CCC">
        <w:rPr>
          <w:szCs w:val="24"/>
        </w:rPr>
        <w:t xml:space="preserve">, in partial fulfilment of item </w:t>
      </w:r>
      <w:r>
        <w:rPr>
          <w:szCs w:val="24"/>
        </w:rPr>
        <w:t>3</w:t>
      </w:r>
      <w:r w:rsidRPr="00DF2CCC">
        <w:rPr>
          <w:szCs w:val="24"/>
        </w:rPr>
        <w:t xml:space="preserve"> of the November </w:t>
      </w:r>
      <w:r>
        <w:rPr>
          <w:szCs w:val="24"/>
        </w:rPr>
        <w:t>17</w:t>
      </w:r>
      <w:r w:rsidRPr="00DF2CCC">
        <w:rPr>
          <w:szCs w:val="24"/>
        </w:rPr>
        <w:t>, 201</w:t>
      </w:r>
      <w:r>
        <w:rPr>
          <w:szCs w:val="24"/>
        </w:rPr>
        <w:t>6</w:t>
      </w:r>
      <w:r w:rsidRPr="00DF2CCC">
        <w:rPr>
          <w:szCs w:val="24"/>
        </w:rPr>
        <w:t xml:space="preserve"> Charge to the OTC’s Stationary and Area Sources (SAS) Committee</w:t>
      </w:r>
      <w:r>
        <w:rPr>
          <w:szCs w:val="24"/>
        </w:rPr>
        <w:t>. That Charge</w:t>
      </w:r>
      <w:r w:rsidRPr="00DF2CCC">
        <w:rPr>
          <w:szCs w:val="24"/>
        </w:rPr>
        <w:t xml:space="preserve"> reads as follows:</w:t>
      </w:r>
    </w:p>
    <w:p w14:paraId="121AD633" w14:textId="77777777" w:rsidR="00965BF2" w:rsidRPr="00DF2CCC" w:rsidRDefault="00965BF2" w:rsidP="00965BF2">
      <w:pPr>
        <w:spacing w:after="120" w:line="259" w:lineRule="auto"/>
        <w:ind w:left="360"/>
        <w:rPr>
          <w:szCs w:val="24"/>
        </w:rPr>
      </w:pPr>
      <w:r w:rsidRPr="00DF2CCC">
        <w:rPr>
          <w:szCs w:val="24"/>
        </w:rPr>
        <w:t>“</w:t>
      </w:r>
      <w:r w:rsidRPr="00E95C98">
        <w:rPr>
          <w:szCs w:val="24"/>
        </w:rPr>
        <w:t xml:space="preserve">Develop and prioritize recommendations and model rules for stationary/area source strategies that states should consider as they develop Good Neighbor </w:t>
      </w:r>
      <w:r w:rsidR="00AC4409" w:rsidRPr="001C6BCA">
        <w:rPr>
          <w:szCs w:val="24"/>
        </w:rPr>
        <w:t>state implementation plan</w:t>
      </w:r>
      <w:r w:rsidR="00AC4409">
        <w:rPr>
          <w:szCs w:val="24"/>
        </w:rPr>
        <w:t>s</w:t>
      </w:r>
      <w:r w:rsidR="00AC4409" w:rsidRPr="001C6BCA">
        <w:rPr>
          <w:szCs w:val="24"/>
        </w:rPr>
        <w:t xml:space="preserve"> </w:t>
      </w:r>
      <w:r w:rsidR="00AC4409">
        <w:rPr>
          <w:szCs w:val="24"/>
        </w:rPr>
        <w:t>(</w:t>
      </w:r>
      <w:r w:rsidRPr="00E95C98">
        <w:rPr>
          <w:szCs w:val="24"/>
        </w:rPr>
        <w:t>SIPs</w:t>
      </w:r>
      <w:r w:rsidR="00AC4409">
        <w:rPr>
          <w:szCs w:val="24"/>
        </w:rPr>
        <w:t>)</w:t>
      </w:r>
      <w:r w:rsidRPr="00E95C98">
        <w:rPr>
          <w:szCs w:val="24"/>
        </w:rPr>
        <w:t xml:space="preserve"> that are due in 2018. These recommendations should consider a variety of factors including: sector NOx/VOC emissions, potential emission reductions, cost, and ease of implementation</w:t>
      </w:r>
      <w:r w:rsidR="00060989">
        <w:rPr>
          <w:szCs w:val="24"/>
        </w:rPr>
        <w:t>.</w:t>
      </w:r>
      <w:r w:rsidRPr="00DF2CCC">
        <w:rPr>
          <w:szCs w:val="24"/>
        </w:rPr>
        <w:t>”</w:t>
      </w:r>
    </w:p>
    <w:p w14:paraId="2A982DFB" w14:textId="77777777" w:rsidR="007F7B9C" w:rsidRDefault="00965BF2" w:rsidP="00692512">
      <w:pPr>
        <w:spacing w:after="120" w:line="259" w:lineRule="auto"/>
        <w:rPr>
          <w:szCs w:val="24"/>
        </w:rPr>
      </w:pPr>
      <w:r w:rsidRPr="00CD188F">
        <w:rPr>
          <w:szCs w:val="24"/>
        </w:rPr>
        <w:t xml:space="preserve">The </w:t>
      </w:r>
      <w:r>
        <w:rPr>
          <w:szCs w:val="24"/>
        </w:rPr>
        <w:t>Report</w:t>
      </w:r>
      <w:r w:rsidRPr="00CD188F">
        <w:rPr>
          <w:szCs w:val="24"/>
        </w:rPr>
        <w:t xml:space="preserve"> focuses on </w:t>
      </w:r>
      <w:r w:rsidR="0049431F" w:rsidRPr="005706C2">
        <w:rPr>
          <w:szCs w:val="24"/>
        </w:rPr>
        <w:t>Natural Gas Pipeline Compressor Prime Movers</w:t>
      </w:r>
      <w:r w:rsidR="0049431F">
        <w:rPr>
          <w:szCs w:val="24"/>
        </w:rPr>
        <w:t xml:space="preserve">, and </w:t>
      </w:r>
      <w:r w:rsidR="0049431F" w:rsidRPr="00E95C98">
        <w:rPr>
          <w:szCs w:val="24"/>
        </w:rPr>
        <w:t>Cement Manufacturing</w:t>
      </w:r>
      <w:r w:rsidR="0049431F">
        <w:rPr>
          <w:szCs w:val="24"/>
        </w:rPr>
        <w:t xml:space="preserve"> Plants as the</w:t>
      </w:r>
      <w:r w:rsidR="0049431F" w:rsidRPr="00CD188F">
        <w:rPr>
          <w:szCs w:val="24"/>
        </w:rPr>
        <w:t xml:space="preserve"> </w:t>
      </w:r>
      <w:r w:rsidRPr="00CD188F">
        <w:rPr>
          <w:szCs w:val="24"/>
        </w:rPr>
        <w:t xml:space="preserve">NOx source categories, which together </w:t>
      </w:r>
      <w:r>
        <w:rPr>
          <w:szCs w:val="24"/>
        </w:rPr>
        <w:t>account for</w:t>
      </w:r>
      <w:r w:rsidRPr="00CD188F">
        <w:rPr>
          <w:szCs w:val="24"/>
        </w:rPr>
        <w:t xml:space="preserve"> </w:t>
      </w:r>
      <w:r w:rsidR="00E562E8" w:rsidRPr="00E562E8">
        <w:rPr>
          <w:szCs w:val="24"/>
        </w:rPr>
        <w:t xml:space="preserve">over 20% </w:t>
      </w:r>
      <w:r w:rsidRPr="00CD188F">
        <w:rPr>
          <w:szCs w:val="24"/>
        </w:rPr>
        <w:t xml:space="preserve">of the annual NOx emissions from </w:t>
      </w:r>
      <w:r w:rsidR="004B2E37">
        <w:rPr>
          <w:szCs w:val="24"/>
        </w:rPr>
        <w:t xml:space="preserve">large </w:t>
      </w:r>
      <w:r w:rsidRPr="00CD188F">
        <w:rPr>
          <w:szCs w:val="24"/>
        </w:rPr>
        <w:t>non-electric generating unit (EGU) stationary sources within the OTR</w:t>
      </w:r>
      <w:r>
        <w:rPr>
          <w:szCs w:val="24"/>
        </w:rPr>
        <w:t xml:space="preserve"> and CSAPR</w:t>
      </w:r>
      <w:r w:rsidR="00A61B48">
        <w:rPr>
          <w:szCs w:val="24"/>
        </w:rPr>
        <w:t xml:space="preserve"> </w:t>
      </w:r>
      <w:r>
        <w:rPr>
          <w:szCs w:val="24"/>
        </w:rPr>
        <w:t>U states</w:t>
      </w:r>
      <w:r w:rsidR="00D67E65">
        <w:rPr>
          <w:szCs w:val="24"/>
        </w:rPr>
        <w:t xml:space="preserve"> (</w:t>
      </w:r>
      <w:bookmarkStart w:id="10" w:name="OLE_LINK34"/>
      <w:bookmarkStart w:id="11" w:name="OLE_LINK35"/>
      <w:r w:rsidR="000B6E67">
        <w:rPr>
          <w:szCs w:val="24"/>
        </w:rPr>
        <w:t>Fig.</w:t>
      </w:r>
      <w:r w:rsidR="000B6E67" w:rsidRPr="000B6E67">
        <w:rPr>
          <w:szCs w:val="24"/>
        </w:rPr>
        <w:t xml:space="preserve"> </w:t>
      </w:r>
      <w:bookmarkEnd w:id="10"/>
      <w:bookmarkEnd w:id="11"/>
      <w:r w:rsidR="00D67E65">
        <w:rPr>
          <w:szCs w:val="24"/>
        </w:rPr>
        <w:t>1)</w:t>
      </w:r>
      <w:r>
        <w:rPr>
          <w:szCs w:val="24"/>
        </w:rPr>
        <w:t>,</w:t>
      </w:r>
      <w:r w:rsidRPr="00CD188F">
        <w:rPr>
          <w:szCs w:val="24"/>
        </w:rPr>
        <w:t xml:space="preserve"> based on </w:t>
      </w:r>
      <w:r w:rsidR="004D2A75">
        <w:rPr>
          <w:szCs w:val="24"/>
        </w:rPr>
        <w:t xml:space="preserve">the </w:t>
      </w:r>
      <w:r w:rsidR="004D2A75" w:rsidRPr="004D2A75">
        <w:rPr>
          <w:szCs w:val="24"/>
        </w:rPr>
        <w:t>United States Environmental Protection Agency</w:t>
      </w:r>
      <w:r w:rsidR="004D2A75">
        <w:rPr>
          <w:szCs w:val="24"/>
        </w:rPr>
        <w:t>’s</w:t>
      </w:r>
      <w:r w:rsidR="004D2A75" w:rsidRPr="004D2A75">
        <w:rPr>
          <w:szCs w:val="24"/>
        </w:rPr>
        <w:t xml:space="preserve"> </w:t>
      </w:r>
      <w:r w:rsidR="004D2A75">
        <w:rPr>
          <w:szCs w:val="24"/>
        </w:rPr>
        <w:t>(</w:t>
      </w:r>
      <w:r w:rsidR="004D2A75" w:rsidRPr="00CD188F">
        <w:rPr>
          <w:szCs w:val="24"/>
        </w:rPr>
        <w:t>EPA</w:t>
      </w:r>
      <w:r w:rsidR="004D2A75">
        <w:rPr>
          <w:szCs w:val="24"/>
        </w:rPr>
        <w:t>)</w:t>
      </w:r>
      <w:r w:rsidR="004D2A75" w:rsidRPr="00CD188F">
        <w:rPr>
          <w:szCs w:val="24"/>
        </w:rPr>
        <w:t xml:space="preserve"> </w:t>
      </w:r>
      <w:r w:rsidRPr="00CD188F">
        <w:rPr>
          <w:szCs w:val="24"/>
        </w:rPr>
        <w:t>2014 National Emissions Inventory</w:t>
      </w:r>
      <w:r>
        <w:rPr>
          <w:szCs w:val="24"/>
        </w:rPr>
        <w:t xml:space="preserve"> </w:t>
      </w:r>
      <w:r w:rsidR="004D2A75">
        <w:rPr>
          <w:szCs w:val="24"/>
        </w:rPr>
        <w:t xml:space="preserve">(NEI) database </w:t>
      </w:r>
      <w:r>
        <w:rPr>
          <w:szCs w:val="24"/>
        </w:rPr>
        <w:t>v</w:t>
      </w:r>
      <w:r w:rsidR="004D2A75">
        <w:rPr>
          <w:szCs w:val="24"/>
        </w:rPr>
        <w:t xml:space="preserve">ersion </w:t>
      </w:r>
      <w:r>
        <w:rPr>
          <w:szCs w:val="24"/>
        </w:rPr>
        <w:t>1</w:t>
      </w:r>
      <w:r w:rsidR="007F7B9C">
        <w:rPr>
          <w:szCs w:val="24"/>
        </w:rPr>
        <w:t>.</w:t>
      </w:r>
    </w:p>
    <w:p w14:paraId="2B28CCA7" w14:textId="77777777" w:rsidR="00D67E65" w:rsidRDefault="00D67E65" w:rsidP="008C5597">
      <w:pPr>
        <w:spacing w:before="200" w:line="259" w:lineRule="auto"/>
        <w:jc w:val="center"/>
        <w:rPr>
          <w:szCs w:val="24"/>
        </w:rPr>
      </w:pPr>
      <w:r>
        <w:rPr>
          <w:noProof/>
          <w:szCs w:val="24"/>
        </w:rPr>
        <w:drawing>
          <wp:inline distT="0" distB="0" distL="0" distR="0" wp14:anchorId="559F93EF" wp14:editId="65FB0A9E">
            <wp:extent cx="3413760" cy="2941320"/>
            <wp:effectExtent l="19050" t="19050" r="1524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rotWithShape="1">
                    <a:blip r:embed="rId9" cstate="print">
                      <a:extLst>
                        <a:ext uri="{28A0092B-C50C-407E-A947-70E740481C1C}">
                          <a14:useLocalDpi xmlns:a14="http://schemas.microsoft.com/office/drawing/2010/main" val="0"/>
                        </a:ext>
                      </a:extLst>
                    </a:blip>
                    <a:srcRect t="3194" r="2053" b="1946"/>
                    <a:stretch/>
                  </pic:blipFill>
                  <pic:spPr bwMode="auto">
                    <a:xfrm>
                      <a:off x="0" y="0"/>
                      <a:ext cx="3432506" cy="29574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3FEDAC" w14:textId="77777777" w:rsidR="00060989" w:rsidRPr="008C5597" w:rsidRDefault="004434C2" w:rsidP="004434C2">
      <w:pPr>
        <w:pStyle w:val="Caption"/>
        <w:jc w:val="center"/>
        <w:rPr>
          <w:b/>
          <w:i w:val="0"/>
          <w:color w:val="auto"/>
          <w:sz w:val="22"/>
          <w:szCs w:val="22"/>
        </w:rPr>
      </w:pPr>
      <w:bookmarkStart w:id="12" w:name="_Toc491350003"/>
      <w:bookmarkStart w:id="13" w:name="_Toc490140181"/>
      <w:r w:rsidRPr="004434C2">
        <w:rPr>
          <w:b/>
          <w:i w:val="0"/>
          <w:color w:val="000000" w:themeColor="text1"/>
          <w:sz w:val="20"/>
          <w:szCs w:val="20"/>
        </w:rPr>
        <w:t xml:space="preserve">Figure </w:t>
      </w:r>
      <w:r w:rsidR="00190587" w:rsidRPr="004434C2">
        <w:rPr>
          <w:b/>
          <w:i w:val="0"/>
          <w:color w:val="000000" w:themeColor="text1"/>
          <w:sz w:val="20"/>
          <w:szCs w:val="20"/>
        </w:rPr>
        <w:fldChar w:fldCharType="begin"/>
      </w:r>
      <w:r w:rsidRPr="004434C2">
        <w:rPr>
          <w:b/>
          <w:i w:val="0"/>
          <w:color w:val="000000" w:themeColor="text1"/>
          <w:sz w:val="20"/>
          <w:szCs w:val="20"/>
        </w:rPr>
        <w:instrText xml:space="preserve"> SEQ Figure \* ARABIC </w:instrText>
      </w:r>
      <w:r w:rsidR="00190587" w:rsidRPr="004434C2">
        <w:rPr>
          <w:b/>
          <w:i w:val="0"/>
          <w:color w:val="000000" w:themeColor="text1"/>
          <w:sz w:val="20"/>
          <w:szCs w:val="20"/>
        </w:rPr>
        <w:fldChar w:fldCharType="separate"/>
      </w:r>
      <w:r w:rsidR="001331CA">
        <w:rPr>
          <w:b/>
          <w:i w:val="0"/>
          <w:noProof/>
          <w:color w:val="000000" w:themeColor="text1"/>
          <w:sz w:val="20"/>
          <w:szCs w:val="20"/>
        </w:rPr>
        <w:t>1</w:t>
      </w:r>
      <w:r w:rsidR="00190587" w:rsidRPr="004434C2">
        <w:rPr>
          <w:b/>
          <w:i w:val="0"/>
          <w:color w:val="000000" w:themeColor="text1"/>
          <w:sz w:val="20"/>
          <w:szCs w:val="20"/>
        </w:rPr>
        <w:fldChar w:fldCharType="end"/>
      </w:r>
      <w:r w:rsidRPr="004434C2">
        <w:rPr>
          <w:b/>
          <w:i w:val="0"/>
          <w:color w:val="auto"/>
          <w:sz w:val="22"/>
          <w:szCs w:val="22"/>
        </w:rPr>
        <w:t xml:space="preserve"> </w:t>
      </w:r>
      <w:r>
        <w:rPr>
          <w:b/>
          <w:i w:val="0"/>
          <w:color w:val="auto"/>
          <w:sz w:val="22"/>
          <w:szCs w:val="22"/>
        </w:rPr>
        <w:t xml:space="preserve"> </w:t>
      </w:r>
      <w:r w:rsidRPr="008C5597">
        <w:rPr>
          <w:b/>
          <w:i w:val="0"/>
          <w:color w:val="auto"/>
          <w:sz w:val="22"/>
          <w:szCs w:val="22"/>
        </w:rPr>
        <w:t>States within OTR and in CSAPR Update</w:t>
      </w:r>
      <w:bookmarkEnd w:id="12"/>
      <w:r w:rsidR="00190587">
        <w:rPr>
          <w:b/>
          <w:i w:val="0"/>
          <w:color w:val="auto"/>
          <w:sz w:val="22"/>
          <w:szCs w:val="22"/>
        </w:rPr>
        <w:fldChar w:fldCharType="begin"/>
      </w:r>
      <w:r>
        <w:instrText xml:space="preserve"> XE "</w:instrText>
      </w:r>
      <w:r w:rsidRPr="004434C2">
        <w:rPr>
          <w:b/>
          <w:i w:val="0"/>
          <w:color w:val="000000" w:themeColor="text1"/>
          <w:sz w:val="20"/>
          <w:szCs w:val="20"/>
        </w:rPr>
        <w:instrText xml:space="preserve">Figure </w:instrText>
      </w:r>
      <w:r w:rsidRPr="004434C2">
        <w:rPr>
          <w:b/>
          <w:i w:val="0"/>
          <w:noProof/>
          <w:color w:val="000000" w:themeColor="text1"/>
          <w:sz w:val="20"/>
          <w:szCs w:val="20"/>
        </w:rPr>
        <w:instrText>1</w:instrText>
      </w:r>
      <w:r w:rsidRPr="004434C2">
        <w:rPr>
          <w:b/>
          <w:i w:val="0"/>
          <w:color w:val="auto"/>
          <w:sz w:val="22"/>
          <w:szCs w:val="22"/>
        </w:rPr>
        <w:instrText xml:space="preserve"> </w:instrText>
      </w:r>
      <w:r>
        <w:rPr>
          <w:b/>
          <w:i w:val="0"/>
          <w:color w:val="auto"/>
          <w:sz w:val="22"/>
          <w:szCs w:val="22"/>
        </w:rPr>
        <w:instrText xml:space="preserve"> </w:instrText>
      </w:r>
      <w:r w:rsidRPr="004434C2">
        <w:rPr>
          <w:b/>
          <w:i w:val="0"/>
          <w:color w:val="auto"/>
          <w:sz w:val="22"/>
          <w:szCs w:val="22"/>
        </w:rPr>
        <w:instrText>States within OTR and in CSAPR Update</w:instrText>
      </w:r>
      <w:r>
        <w:instrText xml:space="preserve">" </w:instrText>
      </w:r>
      <w:r w:rsidR="00190587">
        <w:rPr>
          <w:b/>
          <w:i w:val="0"/>
          <w:color w:val="auto"/>
          <w:sz w:val="22"/>
          <w:szCs w:val="22"/>
        </w:rPr>
        <w:fldChar w:fldCharType="end"/>
      </w:r>
      <w:r w:rsidRPr="008C5597">
        <w:rPr>
          <w:b/>
          <w:i w:val="0"/>
          <w:color w:val="auto"/>
          <w:sz w:val="22"/>
          <w:szCs w:val="22"/>
        </w:rPr>
        <w:t xml:space="preserve"> </w:t>
      </w:r>
      <w:bookmarkEnd w:id="13"/>
    </w:p>
    <w:p w14:paraId="4A8DB281" w14:textId="77777777" w:rsidR="00965BF2" w:rsidRPr="00DF2CCC" w:rsidRDefault="00965BF2" w:rsidP="00984037">
      <w:pPr>
        <w:pStyle w:val="Heading2"/>
      </w:pPr>
      <w:bookmarkStart w:id="14" w:name="_Toc491349925"/>
      <w:r w:rsidRPr="00DF2CCC">
        <w:lastRenderedPageBreak/>
        <w:t>Background</w:t>
      </w:r>
      <w:bookmarkEnd w:id="14"/>
    </w:p>
    <w:p w14:paraId="3905E298" w14:textId="77777777" w:rsidR="00B3036B" w:rsidRDefault="00965BF2" w:rsidP="008B38B5">
      <w:pPr>
        <w:pStyle w:val="Heading3"/>
      </w:pPr>
      <w:bookmarkStart w:id="15" w:name="_Toc491349926"/>
      <w:r w:rsidRPr="001C6BCA">
        <w:t>Good Neighbor provision for the 2015 Ozone National Ambient Air Quality Standards (NAAQS) under the Clean Air Act (CAA)</w:t>
      </w:r>
      <w:bookmarkEnd w:id="15"/>
      <w:r w:rsidRPr="001C6BCA">
        <w:t xml:space="preserve"> </w:t>
      </w:r>
    </w:p>
    <w:p w14:paraId="31D2B1FE" w14:textId="77777777" w:rsidR="00063266" w:rsidRPr="008774F3" w:rsidRDefault="00965BF2" w:rsidP="00E00924">
      <w:pPr>
        <w:spacing w:after="120" w:line="259" w:lineRule="auto"/>
        <w:ind w:left="360"/>
        <w:rPr>
          <w:szCs w:val="24"/>
        </w:rPr>
      </w:pPr>
      <w:r w:rsidRPr="001C6BCA">
        <w:rPr>
          <w:szCs w:val="24"/>
        </w:rPr>
        <w:t>Under CAA Sec. 110(a</w:t>
      </w:r>
      <w:proofErr w:type="gramStart"/>
      <w:r w:rsidRPr="001C6BCA">
        <w:rPr>
          <w:szCs w:val="24"/>
        </w:rPr>
        <w:t>)(</w:t>
      </w:r>
      <w:proofErr w:type="gramEnd"/>
      <w:r w:rsidRPr="001C6BCA">
        <w:rPr>
          <w:szCs w:val="24"/>
        </w:rPr>
        <w:t xml:space="preserve">l) and 110(a)(2), each state is required to submit a </w:t>
      </w:r>
      <w:bookmarkStart w:id="16" w:name="OLE_LINK1"/>
      <w:bookmarkStart w:id="17" w:name="OLE_LINK2"/>
      <w:r w:rsidRPr="001C6BCA">
        <w:rPr>
          <w:szCs w:val="24"/>
        </w:rPr>
        <w:t xml:space="preserve">state implementation plan </w:t>
      </w:r>
      <w:bookmarkEnd w:id="16"/>
      <w:bookmarkEnd w:id="17"/>
      <w:r w:rsidRPr="001C6BCA">
        <w:rPr>
          <w:szCs w:val="24"/>
        </w:rPr>
        <w:t>(SIP) that provides for the implementation, maintenance and enforcement of each primary or secondary NAAQS. Sec. 110(a</w:t>
      </w:r>
      <w:proofErr w:type="gramStart"/>
      <w:r w:rsidRPr="001C6BCA">
        <w:rPr>
          <w:szCs w:val="24"/>
        </w:rPr>
        <w:t>)(</w:t>
      </w:r>
      <w:proofErr w:type="gramEnd"/>
      <w:r w:rsidRPr="001C6BCA">
        <w:rPr>
          <w:szCs w:val="24"/>
        </w:rPr>
        <w:t xml:space="preserve">l) </w:t>
      </w:r>
      <w:r>
        <w:rPr>
          <w:szCs w:val="24"/>
        </w:rPr>
        <w:t xml:space="preserve">also </w:t>
      </w:r>
      <w:r w:rsidRPr="001C6BCA">
        <w:rPr>
          <w:szCs w:val="24"/>
        </w:rPr>
        <w:t>requires each state to make this new SIP submission within 3 years after promulgation of a new or revised NAAQS. This type of SIP submission is commonly referred to as an "infrastructure SIP." The conceptual purpose of an infrastructure SIP submission is to assure that the state's SIP contains the necessary structural requirements for the implementation of the new or revised NAAQS, whether by establishing that the SIP already contains or sufficiently addresses the necessary provisions, or by making a substantive SIP revision to update the SIP. CAA Sec. 110(a</w:t>
      </w:r>
      <w:proofErr w:type="gramStart"/>
      <w:r w:rsidRPr="001C6BCA">
        <w:rPr>
          <w:szCs w:val="24"/>
        </w:rPr>
        <w:t>)(</w:t>
      </w:r>
      <w:proofErr w:type="gramEnd"/>
      <w:r w:rsidRPr="001C6BCA">
        <w:rPr>
          <w:szCs w:val="24"/>
        </w:rPr>
        <w:t>2)(D)(</w:t>
      </w:r>
      <w:proofErr w:type="spellStart"/>
      <w:r w:rsidRPr="001C6BCA">
        <w:rPr>
          <w:szCs w:val="24"/>
        </w:rPr>
        <w:t>i</w:t>
      </w:r>
      <w:proofErr w:type="spellEnd"/>
      <w:r w:rsidRPr="001C6BCA">
        <w:rPr>
          <w:szCs w:val="24"/>
        </w:rPr>
        <w:t>)(I) requires each state in its SIP to prohibit emissions that will significantly contribute to nonattainment of a NAAQS, or interfere with maintenance of a NAAQS, in a downwind state. Under section 110(a)(2)(D)(</w:t>
      </w:r>
      <w:proofErr w:type="spellStart"/>
      <w:r w:rsidRPr="001C6BCA">
        <w:rPr>
          <w:szCs w:val="24"/>
        </w:rPr>
        <w:t>i</w:t>
      </w:r>
      <w:proofErr w:type="spellEnd"/>
      <w:r w:rsidRPr="001C6BCA">
        <w:rPr>
          <w:szCs w:val="24"/>
        </w:rPr>
        <w:t xml:space="preserve">)(I), each state is required to submit to the EPA new or revised SIPs that "contain adequate provisions - prohibiting, consistent with the provisions of this subchapter, any source or other type of emissions activity within the state from emitting any air pollutant in amounts which will ... contribute significantly to nonattainment in, or interfere with maintenance by, any other state with respect to </w:t>
      </w:r>
      <w:r w:rsidRPr="008774F3">
        <w:rPr>
          <w:szCs w:val="24"/>
        </w:rPr>
        <w:t>any such national primary or secondary ambient air quality standard." For purposes of this document, we refer to section 110(a</w:t>
      </w:r>
      <w:proofErr w:type="gramStart"/>
      <w:r w:rsidRPr="008774F3">
        <w:rPr>
          <w:szCs w:val="24"/>
        </w:rPr>
        <w:t>)(</w:t>
      </w:r>
      <w:proofErr w:type="gramEnd"/>
      <w:r w:rsidRPr="008774F3">
        <w:rPr>
          <w:szCs w:val="24"/>
        </w:rPr>
        <w:t>2)(D)(</w:t>
      </w:r>
      <w:proofErr w:type="spellStart"/>
      <w:r w:rsidRPr="008774F3">
        <w:rPr>
          <w:szCs w:val="24"/>
        </w:rPr>
        <w:t>i</w:t>
      </w:r>
      <w:proofErr w:type="spellEnd"/>
      <w:r w:rsidRPr="008774F3">
        <w:rPr>
          <w:szCs w:val="24"/>
        </w:rPr>
        <w:t xml:space="preserve">)(I) as the "Good Neighbor Provision" </w:t>
      </w:r>
      <w:r w:rsidR="001A4DF9">
        <w:rPr>
          <w:szCs w:val="24"/>
        </w:rPr>
        <w:t>(a</w:t>
      </w:r>
      <w:r w:rsidR="001A4DF9" w:rsidRPr="001A4DF9">
        <w:rPr>
          <w:szCs w:val="24"/>
        </w:rPr>
        <w:t>lso shown below and in reference 1</w:t>
      </w:r>
      <w:r w:rsidR="001A4DF9">
        <w:rPr>
          <w:szCs w:val="24"/>
        </w:rPr>
        <w:t>)</w:t>
      </w:r>
      <w:r w:rsidR="001A4DF9" w:rsidRPr="001A4DF9">
        <w:rPr>
          <w:szCs w:val="24"/>
        </w:rPr>
        <w:t xml:space="preserve"> </w:t>
      </w:r>
      <w:r w:rsidRPr="008774F3">
        <w:rPr>
          <w:szCs w:val="24"/>
        </w:rPr>
        <w:t>and to SIP revisions addressing this requirement as "Good Neighbor SIPs."</w:t>
      </w:r>
      <w:r w:rsidR="008774F3" w:rsidRPr="008774F3">
        <w:rPr>
          <w:rStyle w:val="FootnoteReference"/>
          <w:szCs w:val="24"/>
        </w:rPr>
        <w:footnoteReference w:id="1"/>
      </w:r>
      <w:r w:rsidRPr="008774F3">
        <w:rPr>
          <w:szCs w:val="24"/>
        </w:rPr>
        <w:t xml:space="preserve"> </w:t>
      </w:r>
    </w:p>
    <w:p w14:paraId="7B032FC4" w14:textId="77777777" w:rsidR="00965BF2" w:rsidRDefault="008C22EC" w:rsidP="00E00924">
      <w:pPr>
        <w:spacing w:after="120" w:line="259" w:lineRule="auto"/>
        <w:ind w:left="360"/>
        <w:rPr>
          <w:szCs w:val="24"/>
        </w:rPr>
      </w:pPr>
      <w:r w:rsidRPr="008774F3">
        <w:rPr>
          <w:szCs w:val="24"/>
        </w:rPr>
        <w:t>The EPA notes that a consistent framework for addressing transport for certain NAAQS involv</w:t>
      </w:r>
      <w:r>
        <w:rPr>
          <w:szCs w:val="24"/>
        </w:rPr>
        <w:t>e</w:t>
      </w:r>
      <w:r w:rsidRPr="008774F3">
        <w:rPr>
          <w:szCs w:val="24"/>
        </w:rPr>
        <w:t xml:space="preserve"> a number of basic steps, </w:t>
      </w:r>
      <w:r>
        <w:rPr>
          <w:szCs w:val="24"/>
        </w:rPr>
        <w:t>which have</w:t>
      </w:r>
      <w:r w:rsidR="00965BF2" w:rsidRPr="008774F3">
        <w:rPr>
          <w:szCs w:val="24"/>
        </w:rPr>
        <w:t xml:space="preserve"> developed in several previous federal rulemakings. These basic steps include: (1) identifying downwind air quality problems, (2) identifying upwind states that contribute enough to those downwind air quality problems to warrant further review and analysis, (3) identifying the emissions reductions necessary to prevent an identified upwind state from contributing significantly to those downwind air quality problems and (4) adoption of permanent and enforceable measures needed to achieve those emissions reductions. Efforts </w:t>
      </w:r>
      <w:r w:rsidR="00965BF2" w:rsidRPr="001C6BCA">
        <w:rPr>
          <w:szCs w:val="24"/>
        </w:rPr>
        <w:t>to address ozone transport by the EPA and states under the "Good Neighbor" Provision have focused on reductions of NOx as the precursor pollutant for which emissions in upwind states have the greatest impacts on transported ozone.</w:t>
      </w:r>
      <w:r w:rsidR="00965BF2" w:rsidRPr="001C6BCA">
        <w:rPr>
          <w:rStyle w:val="FootnoteReference"/>
          <w:szCs w:val="24"/>
        </w:rPr>
        <w:footnoteReference w:id="2"/>
      </w:r>
    </w:p>
    <w:p w14:paraId="444C71E2" w14:textId="77777777" w:rsidR="006570E2" w:rsidRDefault="006570E2" w:rsidP="008B38B5">
      <w:pPr>
        <w:pStyle w:val="Heading3"/>
      </w:pPr>
      <w:bookmarkStart w:id="18" w:name="_Toc491349927"/>
      <w:r>
        <w:lastRenderedPageBreak/>
        <w:t xml:space="preserve">Two </w:t>
      </w:r>
      <w:r w:rsidRPr="006570E2">
        <w:t xml:space="preserve">Nitrogen Oxides (NOx) Emissions </w:t>
      </w:r>
      <w:r>
        <w:t>Source Categories</w:t>
      </w:r>
      <w:bookmarkEnd w:id="18"/>
      <w:r>
        <w:t xml:space="preserve"> </w:t>
      </w:r>
    </w:p>
    <w:p w14:paraId="43B9B25C" w14:textId="77777777" w:rsidR="008C22EC" w:rsidRDefault="008C22EC" w:rsidP="008C22EC">
      <w:pPr>
        <w:spacing w:after="200"/>
        <w:ind w:left="360"/>
      </w:pPr>
      <w:r>
        <w:t>OTC and state members recommend control measures for natural gas pipeline systems and cement manufacturing plants.  This recommendation is a result of emissions data and sector analysis described below.</w:t>
      </w:r>
    </w:p>
    <w:p w14:paraId="45FC434C" w14:textId="77777777" w:rsidR="0096442F" w:rsidRDefault="00D408EC" w:rsidP="00E00924">
      <w:pPr>
        <w:spacing w:after="200"/>
        <w:ind w:left="360"/>
      </w:pPr>
      <w:r>
        <w:t xml:space="preserve">To identify the top NOx emitters in the OTR and in CSAPR U states, </w:t>
      </w:r>
      <w:r w:rsidR="0053683E">
        <w:t xml:space="preserve">OTC members </w:t>
      </w:r>
      <w:r>
        <w:t xml:space="preserve">reviewed the </w:t>
      </w:r>
      <w:r w:rsidRPr="00D408EC">
        <w:t>2014 NEI</w:t>
      </w:r>
      <w:r w:rsidR="004D2A75">
        <w:t xml:space="preserve"> v</w:t>
      </w:r>
      <w:r w:rsidRPr="00D408EC">
        <w:t xml:space="preserve">1 using </w:t>
      </w:r>
      <w:r>
        <w:t xml:space="preserve">the </w:t>
      </w:r>
      <w:r w:rsidRPr="00D408EC">
        <w:t xml:space="preserve">5 digit </w:t>
      </w:r>
      <w:r w:rsidR="007C4DFA" w:rsidRPr="007C4DFA">
        <w:t>North American Industry Classification System (NAICS)</w:t>
      </w:r>
      <w:r w:rsidRPr="00D408EC">
        <w:t xml:space="preserve"> codes associated with </w:t>
      </w:r>
      <w:r>
        <w:t xml:space="preserve">emitting </w:t>
      </w:r>
      <w:r w:rsidRPr="00D408EC">
        <w:t>facilit</w:t>
      </w:r>
      <w:r>
        <w:t>ies.</w:t>
      </w:r>
      <w:r w:rsidRPr="00D408EC">
        <w:t xml:space="preserve"> </w:t>
      </w:r>
      <w:r w:rsidR="00C34F0B">
        <w:t xml:space="preserve">The 2014 NEI data was utilized for all source categories in an attempt to maintain a consistent evaluation basis. However, note that there appears to be some discrepancy with state-to-state reporting of emissions related to some oil and gas industry emissions </w:t>
      </w:r>
      <w:r w:rsidR="0096442F">
        <w:t xml:space="preserve">with regards to how those emissions are categorized.  </w:t>
      </w:r>
      <w:r w:rsidR="00776CEE">
        <w:t xml:space="preserve">Evaluation of these discrepancies are beyond the scope of this review process.  </w:t>
      </w:r>
      <w:r w:rsidR="0096442F">
        <w:t>The</w:t>
      </w:r>
      <w:r w:rsidR="0053683E">
        <w:t xml:space="preserve"> noted </w:t>
      </w:r>
      <w:r w:rsidR="0096442F">
        <w:t>discrepancies do not impact the fact that subcategories within the oil and gas industry ran</w:t>
      </w:r>
      <w:r w:rsidR="006643B9">
        <w:t>k</w:t>
      </w:r>
      <w:r w:rsidR="0096442F">
        <w:t xml:space="preserve"> as some of the highest overall categories reviewed in this effort.</w:t>
      </w:r>
      <w:r w:rsidR="00C34F0B">
        <w:t xml:space="preserve">  </w:t>
      </w:r>
    </w:p>
    <w:p w14:paraId="79AE8635" w14:textId="77777777" w:rsidR="0053683E" w:rsidRDefault="0053683E" w:rsidP="0053683E">
      <w:pPr>
        <w:spacing w:after="200"/>
        <w:ind w:left="360"/>
      </w:pPr>
      <w:r>
        <w:t xml:space="preserve">2014 NEI v1 data revealed two of the highest NOx sources as pipeline transportation of natural gas and cement manufacturing.  These two categories are among the top five emitting source categories, when </w:t>
      </w:r>
      <w:r w:rsidRPr="00D408EC">
        <w:t xml:space="preserve">Electric Power </w:t>
      </w:r>
      <w:r>
        <w:t xml:space="preserve">Generation </w:t>
      </w:r>
      <w:r w:rsidRPr="00D408EC">
        <w:t xml:space="preserve">&amp; Airport </w:t>
      </w:r>
      <w:r>
        <w:t xml:space="preserve">Landing and </w:t>
      </w:r>
      <w:r w:rsidRPr="00D408EC">
        <w:t>T</w:t>
      </w:r>
      <w:r>
        <w:t>akeoff were excluded.</w:t>
      </w:r>
      <w:r w:rsidRPr="00D046D2">
        <w:t xml:space="preserve"> </w:t>
      </w:r>
      <w:r>
        <w:t>The e</w:t>
      </w:r>
      <w:r w:rsidRPr="00D408EC">
        <w:t xml:space="preserve">lectric </w:t>
      </w:r>
      <w:r>
        <w:t>p</w:t>
      </w:r>
      <w:r w:rsidRPr="00D408EC">
        <w:t xml:space="preserve">ower </w:t>
      </w:r>
      <w:r>
        <w:t xml:space="preserve">generation category was omitted from this analysis because emission controls on large EGUs (≥25 megawatt (MW)) capacity that report to the </w:t>
      </w:r>
      <w:r w:rsidRPr="007332CE">
        <w:t>United States Environmental Protection Agency</w:t>
      </w:r>
      <w:r>
        <w:t xml:space="preserve">’s (EPA’s) </w:t>
      </w:r>
      <w:r w:rsidRPr="0067077D">
        <w:t xml:space="preserve">Clean Air </w:t>
      </w:r>
      <w:r>
        <w:t>Markets Division (CAMD) are being addressed in separate reports</w:t>
      </w:r>
      <w:r w:rsidRPr="00043964">
        <w:t xml:space="preserve"> </w:t>
      </w:r>
      <w:r>
        <w:t>as part of SAS charge #1 and #2. Recommendations on emission reductions from smaller EGUs (&lt;25 MW</w:t>
      </w:r>
      <w:r w:rsidRPr="006F291B">
        <w:t xml:space="preserve"> </w:t>
      </w:r>
      <w:r>
        <w:t xml:space="preserve">capacity) and other units that operate on High Electric Demand Days (HEDD) are being addressed in SAS charge #4. </w:t>
      </w:r>
    </w:p>
    <w:p w14:paraId="375FAA06" w14:textId="069A7496" w:rsidR="0053683E" w:rsidRDefault="004569A4" w:rsidP="0053683E">
      <w:pPr>
        <w:spacing w:after="200"/>
        <w:ind w:left="360"/>
      </w:pPr>
      <w:bookmarkStart w:id="19" w:name="OLE_LINK23"/>
      <w:bookmarkStart w:id="20" w:name="OLE_LINK24"/>
      <w:r>
        <w:t>Figure 2 is based on the 2014 NEI v1 and shows the top 10 NOx emitting categories of the OTR states and the top 15 NOx emitting categories for the OTR and CSAPR U states (excluding EGUs and airport landing-takeoff operations (LTOs)). According to the 2014 NEIv1, Pipeline Transportation of Natural Gas was the top NOx emitter in CSAPR U states not in the OTR releasing 174,645 tons per year (</w:t>
      </w:r>
      <w:proofErr w:type="spellStart"/>
      <w:r>
        <w:t>tpy</w:t>
      </w:r>
      <w:proofErr w:type="spellEnd"/>
      <w:r>
        <w:t>). This category ranked number 5 in OTR states accounting for 7,853</w:t>
      </w:r>
      <w:r w:rsidRPr="00EC58AD">
        <w:t xml:space="preserve"> </w:t>
      </w:r>
      <w:proofErr w:type="spellStart"/>
      <w:r>
        <w:t>tpy</w:t>
      </w:r>
      <w:proofErr w:type="spellEnd"/>
      <w:r>
        <w:t xml:space="preserve">. Cement Manufacturing Plants were the second highest NOx emitters in both CSAPR U states not in the OTR and in OTR with 69,138 </w:t>
      </w:r>
      <w:proofErr w:type="spellStart"/>
      <w:r>
        <w:t>tpy</w:t>
      </w:r>
      <w:proofErr w:type="spellEnd"/>
      <w:r>
        <w:t xml:space="preserve"> and 13,151 </w:t>
      </w:r>
      <w:proofErr w:type="spellStart"/>
      <w:r>
        <w:t>tpy</w:t>
      </w:r>
      <w:proofErr w:type="spellEnd"/>
      <w:r>
        <w:t xml:space="preserve"> respectively. One issue not identified in the NEI  is that the 2014 data reported directly to the State of Pennsylvania (PA) from the regulated community indicate that NOx emissions from PA non-conventional oil/gas drilling and well completion activity are higher than the total OTR pipeline </w:t>
      </w:r>
      <w:r w:rsidR="0053683E">
        <w:t>compressor NOx emissions represented in the 2014 NEI. The NOx emissions data seems to be consistent with the amount of well drilling and development occurring in the PA Marcellus shale region. The</w:t>
      </w:r>
      <w:r w:rsidR="0053683E" w:rsidRPr="00D408EC">
        <w:t xml:space="preserve"> </w:t>
      </w:r>
      <w:r w:rsidR="0053683E">
        <w:t xml:space="preserve">part of Virginia outside the </w:t>
      </w:r>
      <w:r w:rsidR="0053683E" w:rsidRPr="00D408EC">
        <w:t xml:space="preserve">OTR </w:t>
      </w:r>
      <w:r w:rsidR="0053683E">
        <w:t>was excluded from our review.</w:t>
      </w:r>
    </w:p>
    <w:bookmarkEnd w:id="19"/>
    <w:bookmarkEnd w:id="20"/>
    <w:p w14:paraId="6C0A6AF0" w14:textId="77777777" w:rsidR="000806D4" w:rsidRDefault="00D408EC" w:rsidP="00094898">
      <w:pPr>
        <w:spacing w:after="200"/>
        <w:ind w:left="360"/>
      </w:pPr>
      <w:r>
        <w:lastRenderedPageBreak/>
        <w:t xml:space="preserve">In this report we </w:t>
      </w:r>
      <w:r w:rsidR="00F941C2">
        <w:t xml:space="preserve">discuss </w:t>
      </w:r>
      <w:r w:rsidR="00C97A0A">
        <w:t xml:space="preserve">the </w:t>
      </w:r>
      <w:r w:rsidR="00351F83">
        <w:t xml:space="preserve">NOx </w:t>
      </w:r>
      <w:r w:rsidR="00F941C2">
        <w:t xml:space="preserve">emission profiles </w:t>
      </w:r>
      <w:r w:rsidR="00C97A0A">
        <w:t xml:space="preserve">of </w:t>
      </w:r>
      <w:r w:rsidR="00351F83">
        <w:t xml:space="preserve">natural gas pipeline </w:t>
      </w:r>
      <w:r w:rsidR="003B4B9E">
        <w:t xml:space="preserve">systems focusing on </w:t>
      </w:r>
      <w:r w:rsidR="00351F83">
        <w:t>compressors</w:t>
      </w:r>
      <w:r w:rsidR="003B4B9E">
        <w:t>,</w:t>
      </w:r>
      <w:r w:rsidR="00351F83">
        <w:t xml:space="preserve"> and cement manufacturing plants </w:t>
      </w:r>
      <w:r w:rsidR="00F941C2">
        <w:t xml:space="preserve">and </w:t>
      </w:r>
      <w:r w:rsidR="00C97A0A">
        <w:t xml:space="preserve">offer </w:t>
      </w:r>
      <w:r w:rsidR="00F941C2">
        <w:t xml:space="preserve">recommendations of potential </w:t>
      </w:r>
      <w:r w:rsidR="00351F83">
        <w:t xml:space="preserve">emission </w:t>
      </w:r>
      <w:r w:rsidR="00F941C2">
        <w:t>control measures.</w:t>
      </w:r>
    </w:p>
    <w:p w14:paraId="66B57352" w14:textId="77777777" w:rsidR="007C69F3" w:rsidRDefault="007C69F3" w:rsidP="00A414A1">
      <w:pPr>
        <w:jc w:val="center"/>
      </w:pPr>
      <w:r>
        <w:rPr>
          <w:noProof/>
        </w:rPr>
        <w:drawing>
          <wp:inline distT="0" distB="0" distL="0" distR="0" wp14:anchorId="6AD34496" wp14:editId="45FB0BA1">
            <wp:extent cx="4831080" cy="3055620"/>
            <wp:effectExtent l="0" t="0" r="762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15EDA0" w14:textId="77777777" w:rsidR="00427F62" w:rsidRDefault="0016428D" w:rsidP="00350962">
      <w:pPr>
        <w:jc w:val="center"/>
      </w:pPr>
      <w:r w:rsidRPr="00351F83">
        <w:rPr>
          <w:noProof/>
          <w:u w:val="single"/>
        </w:rPr>
        <w:drawing>
          <wp:inline distT="0" distB="0" distL="0" distR="0" wp14:anchorId="4AF9F0EF" wp14:editId="719CEBAB">
            <wp:extent cx="4831080" cy="3421380"/>
            <wp:effectExtent l="0" t="0" r="762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49EEFD" w14:textId="77777777" w:rsidR="00DE0640" w:rsidRDefault="001833CC" w:rsidP="006C21F2">
      <w:pPr>
        <w:pStyle w:val="Caption"/>
        <w:spacing w:line="240" w:lineRule="auto"/>
        <w:jc w:val="center"/>
      </w:pPr>
      <w:bookmarkStart w:id="21" w:name="_Toc491350004"/>
      <w:r w:rsidRPr="001833CC">
        <w:rPr>
          <w:b/>
          <w:i w:val="0"/>
          <w:color w:val="000000" w:themeColor="text1"/>
          <w:sz w:val="20"/>
          <w:szCs w:val="20"/>
        </w:rPr>
        <w:t xml:space="preserve">Figure </w:t>
      </w:r>
      <w:r w:rsidR="00190587" w:rsidRPr="001833CC">
        <w:rPr>
          <w:b/>
          <w:i w:val="0"/>
          <w:color w:val="000000" w:themeColor="text1"/>
          <w:sz w:val="20"/>
          <w:szCs w:val="20"/>
        </w:rPr>
        <w:fldChar w:fldCharType="begin"/>
      </w:r>
      <w:r w:rsidRPr="001833CC">
        <w:rPr>
          <w:b/>
          <w:i w:val="0"/>
          <w:color w:val="000000" w:themeColor="text1"/>
          <w:sz w:val="20"/>
          <w:szCs w:val="20"/>
        </w:rPr>
        <w:instrText xml:space="preserve"> SEQ Figure \* ARABIC </w:instrText>
      </w:r>
      <w:r w:rsidR="00190587" w:rsidRPr="001833CC">
        <w:rPr>
          <w:b/>
          <w:i w:val="0"/>
          <w:color w:val="000000" w:themeColor="text1"/>
          <w:sz w:val="20"/>
          <w:szCs w:val="20"/>
        </w:rPr>
        <w:fldChar w:fldCharType="separate"/>
      </w:r>
      <w:r w:rsidR="001331CA">
        <w:rPr>
          <w:b/>
          <w:i w:val="0"/>
          <w:noProof/>
          <w:color w:val="000000" w:themeColor="text1"/>
          <w:sz w:val="20"/>
          <w:szCs w:val="20"/>
        </w:rPr>
        <w:t>2</w:t>
      </w:r>
      <w:r w:rsidR="00190587" w:rsidRPr="001833CC">
        <w:rPr>
          <w:b/>
          <w:i w:val="0"/>
          <w:color w:val="000000" w:themeColor="text1"/>
          <w:sz w:val="20"/>
          <w:szCs w:val="20"/>
        </w:rPr>
        <w:fldChar w:fldCharType="end"/>
      </w:r>
      <w:r w:rsidRPr="001833CC">
        <w:rPr>
          <w:b/>
          <w:bCs/>
          <w:i w:val="0"/>
          <w:color w:val="000000" w:themeColor="text1"/>
          <w:sz w:val="20"/>
          <w:szCs w:val="20"/>
        </w:rPr>
        <w:t xml:space="preserve">  T</w:t>
      </w:r>
      <w:r w:rsidRPr="004434C2">
        <w:rPr>
          <w:b/>
          <w:bCs/>
          <w:i w:val="0"/>
          <w:color w:val="auto"/>
          <w:sz w:val="20"/>
          <w:szCs w:val="20"/>
        </w:rPr>
        <w:t>op Non-EGU Stationary Source Categories of NOx Emissions in OTR States (Panel A) and in CSPAR Update + OTR States (Panel B), excluding EGUs, Airport LTO, and the state of Virginia</w:t>
      </w:r>
      <w:r w:rsidRPr="007236D9">
        <w:rPr>
          <w:rStyle w:val="FootnoteReference"/>
          <w:bCs/>
          <w:i w:val="0"/>
          <w:color w:val="auto"/>
          <w:sz w:val="22"/>
          <w:szCs w:val="22"/>
        </w:rPr>
        <w:footnoteReference w:id="3"/>
      </w:r>
      <w:bookmarkEnd w:id="21"/>
      <w:r w:rsidR="00190587">
        <w:rPr>
          <w:b/>
          <w:bCs/>
          <w:i w:val="0"/>
          <w:color w:val="auto"/>
          <w:sz w:val="20"/>
          <w:szCs w:val="20"/>
        </w:rPr>
        <w:fldChar w:fldCharType="begin"/>
      </w:r>
      <w:r>
        <w:instrText xml:space="preserve"> XE "</w:instrText>
      </w:r>
      <w:r w:rsidRPr="001833CC">
        <w:rPr>
          <w:b/>
          <w:i w:val="0"/>
          <w:color w:val="000000" w:themeColor="text1"/>
          <w:sz w:val="20"/>
          <w:szCs w:val="20"/>
        </w:rPr>
        <w:instrText xml:space="preserve">Figure </w:instrText>
      </w:r>
      <w:r w:rsidRPr="001833CC">
        <w:rPr>
          <w:b/>
          <w:i w:val="0"/>
          <w:noProof/>
          <w:color w:val="000000" w:themeColor="text1"/>
          <w:sz w:val="20"/>
          <w:szCs w:val="20"/>
        </w:rPr>
        <w:instrText>2</w:instrText>
      </w:r>
      <w:r w:rsidRPr="001833CC">
        <w:rPr>
          <w:b/>
          <w:bCs/>
          <w:i w:val="0"/>
          <w:color w:val="000000" w:themeColor="text1"/>
          <w:sz w:val="20"/>
          <w:szCs w:val="20"/>
        </w:rPr>
        <w:instrText xml:space="preserve">  T</w:instrText>
      </w:r>
      <w:r w:rsidRPr="001833CC">
        <w:rPr>
          <w:b/>
          <w:bCs/>
          <w:i w:val="0"/>
          <w:color w:val="auto"/>
          <w:sz w:val="20"/>
          <w:szCs w:val="20"/>
        </w:rPr>
        <w:instrText>op Non-EGU Stationary Source Categories of NOx Emissions in OTR States (Panel A) and in CSPAR Update + OTR States (Panel B), excluding EGUs, Airport LTO, and the state of Virginia</w:instrText>
      </w:r>
      <w:r>
        <w:instrText xml:space="preserve">" </w:instrText>
      </w:r>
      <w:r w:rsidR="00190587">
        <w:rPr>
          <w:b/>
          <w:bCs/>
          <w:i w:val="0"/>
          <w:color w:val="auto"/>
          <w:sz w:val="20"/>
          <w:szCs w:val="20"/>
        </w:rPr>
        <w:fldChar w:fldCharType="end"/>
      </w:r>
    </w:p>
    <w:p w14:paraId="2D622DE9" w14:textId="77777777" w:rsidR="00965BF2" w:rsidRDefault="00965BF2" w:rsidP="00421170">
      <w:pPr>
        <w:pStyle w:val="Heading2"/>
      </w:pPr>
      <w:bookmarkStart w:id="22" w:name="_Toc491349928"/>
      <w:bookmarkStart w:id="23" w:name="_Toc460338046"/>
      <w:r w:rsidRPr="00801CDD">
        <w:lastRenderedPageBreak/>
        <w:t>Natural Gas Pipeline Compressor Prime Movers</w:t>
      </w:r>
      <w:bookmarkEnd w:id="22"/>
      <w:r w:rsidRPr="00801CDD">
        <w:t xml:space="preserve"> </w:t>
      </w:r>
    </w:p>
    <w:p w14:paraId="2A8820DB" w14:textId="77777777" w:rsidR="00BA34F3" w:rsidRPr="00BA34F3" w:rsidRDefault="00AD2AC5" w:rsidP="008B38B5">
      <w:pPr>
        <w:pStyle w:val="Heading3"/>
      </w:pPr>
      <w:bookmarkStart w:id="24" w:name="_Toc491349929"/>
      <w:r>
        <w:t>Background</w:t>
      </w:r>
      <w:bookmarkEnd w:id="24"/>
      <w:r w:rsidR="009F1025">
        <w:t xml:space="preserve"> </w:t>
      </w:r>
    </w:p>
    <w:p w14:paraId="436149E6" w14:textId="77777777" w:rsidR="00695288" w:rsidRDefault="002F6C3D" w:rsidP="0039576C">
      <w:pPr>
        <w:spacing w:before="120" w:after="120"/>
        <w:ind w:left="360"/>
        <w:rPr>
          <w:szCs w:val="24"/>
        </w:rPr>
      </w:pPr>
      <w:r w:rsidRPr="002F6C3D">
        <w:rPr>
          <w:szCs w:val="24"/>
        </w:rPr>
        <w:t xml:space="preserve">The U.S. natural gas pipeline </w:t>
      </w:r>
      <w:r w:rsidR="0084258F" w:rsidRPr="002F6C3D">
        <w:rPr>
          <w:szCs w:val="24"/>
        </w:rPr>
        <w:t xml:space="preserve">grid </w:t>
      </w:r>
      <w:r w:rsidRPr="002F6C3D">
        <w:rPr>
          <w:szCs w:val="24"/>
        </w:rPr>
        <w:t>is a</w:t>
      </w:r>
      <w:r w:rsidR="0084258F">
        <w:rPr>
          <w:szCs w:val="24"/>
        </w:rPr>
        <w:t>n</w:t>
      </w:r>
      <w:r w:rsidRPr="002F6C3D">
        <w:rPr>
          <w:szCs w:val="24"/>
        </w:rPr>
        <w:t xml:space="preserve"> integrated transmission and distribution </w:t>
      </w:r>
      <w:r w:rsidR="0084258F" w:rsidRPr="002F6C3D">
        <w:rPr>
          <w:szCs w:val="24"/>
        </w:rPr>
        <w:t xml:space="preserve">network </w:t>
      </w:r>
      <w:r w:rsidRPr="002F6C3D">
        <w:rPr>
          <w:szCs w:val="24"/>
        </w:rPr>
        <w:t>that transport</w:t>
      </w:r>
      <w:r w:rsidR="0084258F">
        <w:rPr>
          <w:szCs w:val="24"/>
        </w:rPr>
        <w:t>s</w:t>
      </w:r>
      <w:r w:rsidRPr="002F6C3D">
        <w:rPr>
          <w:szCs w:val="24"/>
        </w:rPr>
        <w:t xml:space="preserve"> natural gas to and from </w:t>
      </w:r>
      <w:r w:rsidR="00AC0D20">
        <w:rPr>
          <w:szCs w:val="24"/>
        </w:rPr>
        <w:t xml:space="preserve">numerous </w:t>
      </w:r>
      <w:r w:rsidRPr="002F6C3D">
        <w:rPr>
          <w:szCs w:val="24"/>
        </w:rPr>
        <w:t>location</w:t>
      </w:r>
      <w:r w:rsidR="0084258F">
        <w:rPr>
          <w:szCs w:val="24"/>
        </w:rPr>
        <w:t>s</w:t>
      </w:r>
      <w:r w:rsidRPr="002F6C3D">
        <w:rPr>
          <w:szCs w:val="24"/>
        </w:rPr>
        <w:t xml:space="preserve"> in the </w:t>
      </w:r>
      <w:r w:rsidR="0084258F">
        <w:rPr>
          <w:szCs w:val="24"/>
        </w:rPr>
        <w:t>contiguous</w:t>
      </w:r>
      <w:r w:rsidR="0084258F" w:rsidRPr="002F6C3D">
        <w:rPr>
          <w:szCs w:val="24"/>
        </w:rPr>
        <w:t xml:space="preserve"> </w:t>
      </w:r>
      <w:r w:rsidRPr="002F6C3D">
        <w:rPr>
          <w:szCs w:val="24"/>
        </w:rPr>
        <w:t>48 States</w:t>
      </w:r>
      <w:r w:rsidR="005521DE">
        <w:rPr>
          <w:szCs w:val="24"/>
        </w:rPr>
        <w:t>.</w:t>
      </w:r>
      <w:r w:rsidR="00695288">
        <w:rPr>
          <w:szCs w:val="24"/>
        </w:rPr>
        <w:t xml:space="preserve"> </w:t>
      </w:r>
      <w:r w:rsidR="005521DE" w:rsidRPr="002F6C3D">
        <w:rPr>
          <w:szCs w:val="24"/>
        </w:rPr>
        <w:t>Th</w:t>
      </w:r>
      <w:r w:rsidR="0084258F">
        <w:rPr>
          <w:szCs w:val="24"/>
        </w:rPr>
        <w:t>is</w:t>
      </w:r>
      <w:r w:rsidR="005521DE" w:rsidRPr="002F6C3D">
        <w:rPr>
          <w:szCs w:val="24"/>
        </w:rPr>
        <w:t xml:space="preserve"> grid </w:t>
      </w:r>
      <w:r w:rsidR="005521DE">
        <w:rPr>
          <w:szCs w:val="24"/>
        </w:rPr>
        <w:t xml:space="preserve">consists of </w:t>
      </w:r>
      <w:r w:rsidR="005521DE" w:rsidRPr="002F6C3D">
        <w:rPr>
          <w:szCs w:val="24"/>
        </w:rPr>
        <w:t>305,000 miles of interstate and in</w:t>
      </w:r>
      <w:r w:rsidR="005521DE">
        <w:rPr>
          <w:szCs w:val="24"/>
        </w:rPr>
        <w:t>trastate transmission pipelines</w:t>
      </w:r>
      <w:r w:rsidR="0084258F">
        <w:rPr>
          <w:szCs w:val="24"/>
        </w:rPr>
        <w:t xml:space="preserve"> </w:t>
      </w:r>
      <w:r w:rsidR="00AC0D20">
        <w:rPr>
          <w:szCs w:val="24"/>
        </w:rPr>
        <w:t>in m</w:t>
      </w:r>
      <w:r w:rsidR="00AC0D20" w:rsidRPr="002F6C3D">
        <w:rPr>
          <w:szCs w:val="24"/>
        </w:rPr>
        <w:t>ore than 210 pipeline systems</w:t>
      </w:r>
      <w:r w:rsidR="00AC0D20">
        <w:rPr>
          <w:szCs w:val="24"/>
        </w:rPr>
        <w:t>, which include</w:t>
      </w:r>
      <w:r w:rsidR="0084258F" w:rsidRPr="002F6C3D">
        <w:rPr>
          <w:szCs w:val="24"/>
        </w:rPr>
        <w:t xml:space="preserve"> 1,400 compressor stations that maintain pressure on the network and assure continuous forward movement of supplies</w:t>
      </w:r>
      <w:r w:rsidR="00AC0D20">
        <w:rPr>
          <w:szCs w:val="24"/>
        </w:rPr>
        <w:t xml:space="preserve"> through m</w:t>
      </w:r>
      <w:r w:rsidR="0084258F" w:rsidRPr="002F6C3D">
        <w:rPr>
          <w:szCs w:val="24"/>
        </w:rPr>
        <w:t>ore than 11,000 delivery points, 5,000 receipt points, and 1,400 interconnection points.</w:t>
      </w:r>
      <w:bookmarkStart w:id="25" w:name="OLE_LINK19"/>
      <w:bookmarkStart w:id="26" w:name="OLE_LINK20"/>
      <w:r w:rsidR="00AC0D20">
        <w:rPr>
          <w:rStyle w:val="FootnoteReference"/>
          <w:szCs w:val="24"/>
        </w:rPr>
        <w:footnoteReference w:id="4"/>
      </w:r>
      <w:bookmarkEnd w:id="25"/>
      <w:bookmarkEnd w:id="26"/>
      <w:r w:rsidR="00AC0D20">
        <w:rPr>
          <w:szCs w:val="24"/>
        </w:rPr>
        <w:t xml:space="preserve"> </w:t>
      </w:r>
      <w:r w:rsidR="00164472">
        <w:rPr>
          <w:szCs w:val="24"/>
        </w:rPr>
        <w:t xml:space="preserve">The pipeline grid has </w:t>
      </w:r>
      <w:r w:rsidR="0084258F" w:rsidRPr="002F6C3D">
        <w:rPr>
          <w:szCs w:val="24"/>
        </w:rPr>
        <w:t>24 hubs or market centers that provide additional interconnections</w:t>
      </w:r>
      <w:r w:rsidR="00AC0D20">
        <w:rPr>
          <w:szCs w:val="24"/>
        </w:rPr>
        <w:t>, and</w:t>
      </w:r>
      <w:r w:rsidR="006F131C" w:rsidRPr="006F131C">
        <w:rPr>
          <w:szCs w:val="24"/>
        </w:rPr>
        <w:t xml:space="preserve"> </w:t>
      </w:r>
      <w:r w:rsidR="006F131C" w:rsidRPr="002F6C3D">
        <w:rPr>
          <w:szCs w:val="24"/>
        </w:rPr>
        <w:t>400 underground natural gas storage facilities</w:t>
      </w:r>
      <w:r w:rsidR="00164472">
        <w:rPr>
          <w:rStyle w:val="FootnoteReference"/>
          <w:szCs w:val="24"/>
        </w:rPr>
        <w:footnoteReference w:id="5"/>
      </w:r>
      <w:r w:rsidR="00164472" w:rsidDel="00164472">
        <w:rPr>
          <w:szCs w:val="24"/>
        </w:rPr>
        <w:t xml:space="preserve"> </w:t>
      </w:r>
      <w:r w:rsidR="00695288">
        <w:rPr>
          <w:szCs w:val="24"/>
        </w:rPr>
        <w:t>(Fig</w:t>
      </w:r>
      <w:r w:rsidR="00164472">
        <w:rPr>
          <w:szCs w:val="24"/>
        </w:rPr>
        <w:t>.</w:t>
      </w:r>
      <w:r w:rsidR="00695288">
        <w:rPr>
          <w:szCs w:val="24"/>
        </w:rPr>
        <w:t xml:space="preserve"> </w:t>
      </w:r>
      <w:r w:rsidR="00692512">
        <w:rPr>
          <w:szCs w:val="24"/>
        </w:rPr>
        <w:t>3</w:t>
      </w:r>
      <w:r w:rsidR="00695288">
        <w:rPr>
          <w:szCs w:val="24"/>
        </w:rPr>
        <w:t>)</w:t>
      </w:r>
      <w:r w:rsidRPr="002F6C3D">
        <w:rPr>
          <w:szCs w:val="24"/>
        </w:rPr>
        <w:t xml:space="preserve">. </w:t>
      </w:r>
    </w:p>
    <w:p w14:paraId="065CDC51" w14:textId="77777777" w:rsidR="00A41A0D" w:rsidRDefault="00A41A0D" w:rsidP="00B040BF">
      <w:pPr>
        <w:ind w:left="360"/>
        <w:jc w:val="center"/>
        <w:rPr>
          <w:szCs w:val="24"/>
        </w:rPr>
      </w:pPr>
      <w:r>
        <w:rPr>
          <w:noProof/>
        </w:rPr>
        <w:drawing>
          <wp:inline distT="0" distB="0" distL="0" distR="0" wp14:anchorId="2C0A0013" wp14:editId="16B1A39C">
            <wp:extent cx="4427104" cy="3238500"/>
            <wp:effectExtent l="19050" t="19050" r="12065"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64411" cy="3265791"/>
                    </a:xfrm>
                    <a:prstGeom prst="rect">
                      <a:avLst/>
                    </a:prstGeom>
                    <a:noFill/>
                    <a:ln>
                      <a:solidFill>
                        <a:schemeClr val="tx1"/>
                      </a:solidFill>
                    </a:ln>
                    <a:extLst/>
                  </pic:spPr>
                </pic:pic>
              </a:graphicData>
            </a:graphic>
          </wp:inline>
        </w:drawing>
      </w:r>
    </w:p>
    <w:p w14:paraId="337CC826" w14:textId="77777777" w:rsidR="0087169F" w:rsidRPr="00F90F03" w:rsidRDefault="001833CC" w:rsidP="00CB767B">
      <w:pPr>
        <w:pStyle w:val="Caption"/>
        <w:spacing w:line="240" w:lineRule="auto"/>
        <w:jc w:val="center"/>
        <w:rPr>
          <w:color w:val="000000" w:themeColor="text1"/>
          <w:sz w:val="22"/>
          <w:szCs w:val="22"/>
        </w:rPr>
      </w:pPr>
      <w:bookmarkStart w:id="27" w:name="_Toc491350005"/>
      <w:r w:rsidRPr="001833CC">
        <w:rPr>
          <w:b/>
          <w:i w:val="0"/>
          <w:color w:val="000000" w:themeColor="text1"/>
          <w:sz w:val="20"/>
          <w:szCs w:val="20"/>
        </w:rPr>
        <w:t xml:space="preserve">Figure </w:t>
      </w:r>
      <w:r w:rsidR="00190587" w:rsidRPr="001833CC">
        <w:rPr>
          <w:b/>
          <w:i w:val="0"/>
          <w:color w:val="000000" w:themeColor="text1"/>
          <w:sz w:val="20"/>
          <w:szCs w:val="20"/>
        </w:rPr>
        <w:fldChar w:fldCharType="begin"/>
      </w:r>
      <w:r w:rsidRPr="001833CC">
        <w:rPr>
          <w:b/>
          <w:i w:val="0"/>
          <w:color w:val="000000" w:themeColor="text1"/>
          <w:sz w:val="20"/>
          <w:szCs w:val="20"/>
        </w:rPr>
        <w:instrText xml:space="preserve"> SEQ Figure \* ARABIC </w:instrText>
      </w:r>
      <w:r w:rsidR="00190587" w:rsidRPr="001833CC">
        <w:rPr>
          <w:b/>
          <w:i w:val="0"/>
          <w:color w:val="000000" w:themeColor="text1"/>
          <w:sz w:val="20"/>
          <w:szCs w:val="20"/>
        </w:rPr>
        <w:fldChar w:fldCharType="separate"/>
      </w:r>
      <w:r w:rsidR="001331CA">
        <w:rPr>
          <w:b/>
          <w:i w:val="0"/>
          <w:noProof/>
          <w:color w:val="000000" w:themeColor="text1"/>
          <w:sz w:val="20"/>
          <w:szCs w:val="20"/>
        </w:rPr>
        <w:t>3</w:t>
      </w:r>
      <w:r w:rsidR="00190587" w:rsidRPr="001833CC">
        <w:rPr>
          <w:b/>
          <w:i w:val="0"/>
          <w:color w:val="000000" w:themeColor="text1"/>
          <w:sz w:val="20"/>
          <w:szCs w:val="20"/>
        </w:rPr>
        <w:fldChar w:fldCharType="end"/>
      </w:r>
      <w:r w:rsidRPr="001833CC">
        <w:rPr>
          <w:b/>
          <w:i w:val="0"/>
          <w:color w:val="000000" w:themeColor="text1"/>
          <w:sz w:val="20"/>
          <w:szCs w:val="20"/>
        </w:rPr>
        <w:t xml:space="preserve"> </w:t>
      </w:r>
      <w:r>
        <w:t xml:space="preserve"> </w:t>
      </w:r>
      <w:r w:rsidRPr="00F90F03">
        <w:rPr>
          <w:b/>
          <w:i w:val="0"/>
          <w:color w:val="000000" w:themeColor="text1"/>
          <w:sz w:val="22"/>
          <w:szCs w:val="22"/>
        </w:rPr>
        <w:t>Pipeline Transportation of Natural Gas NOx Emissions for CSAPRU and OTR States showing facilities emitting ≥50 tons per year</w:t>
      </w:r>
      <w:r w:rsidR="00190587">
        <w:rPr>
          <w:b/>
          <w:i w:val="0"/>
          <w:color w:val="000000" w:themeColor="text1"/>
          <w:sz w:val="22"/>
          <w:szCs w:val="22"/>
        </w:rPr>
        <w:fldChar w:fldCharType="begin"/>
      </w:r>
      <w:r>
        <w:instrText xml:space="preserve"> XE "</w:instrText>
      </w:r>
      <w:r w:rsidRPr="001833CC">
        <w:rPr>
          <w:b/>
          <w:i w:val="0"/>
          <w:color w:val="000000" w:themeColor="text1"/>
          <w:sz w:val="20"/>
          <w:szCs w:val="20"/>
        </w:rPr>
        <w:instrText xml:space="preserve">Figure </w:instrText>
      </w:r>
      <w:r w:rsidRPr="001833CC">
        <w:rPr>
          <w:b/>
          <w:i w:val="0"/>
          <w:noProof/>
          <w:color w:val="000000" w:themeColor="text1"/>
          <w:sz w:val="20"/>
          <w:szCs w:val="20"/>
        </w:rPr>
        <w:instrText>3</w:instrText>
      </w:r>
      <w:r w:rsidRPr="001833CC">
        <w:rPr>
          <w:b/>
          <w:i w:val="0"/>
          <w:color w:val="000000" w:themeColor="text1"/>
          <w:sz w:val="20"/>
          <w:szCs w:val="20"/>
        </w:rPr>
        <w:instrText xml:space="preserve"> </w:instrText>
      </w:r>
      <w:r w:rsidRPr="001833CC">
        <w:instrText xml:space="preserve"> </w:instrText>
      </w:r>
      <w:r w:rsidRPr="001833CC">
        <w:rPr>
          <w:b/>
          <w:i w:val="0"/>
          <w:color w:val="000000" w:themeColor="text1"/>
          <w:sz w:val="22"/>
          <w:szCs w:val="22"/>
        </w:rPr>
        <w:instrText>Pipeline Transportation of Natural Gas NOx Emissions for CSAPRU and OTR States showing facilities emitting ≥50 tons per year</w:instrText>
      </w:r>
      <w:r>
        <w:instrText xml:space="preserve">" </w:instrText>
      </w:r>
      <w:r w:rsidR="00190587">
        <w:rPr>
          <w:b/>
          <w:i w:val="0"/>
          <w:color w:val="000000" w:themeColor="text1"/>
          <w:sz w:val="22"/>
          <w:szCs w:val="22"/>
        </w:rPr>
        <w:fldChar w:fldCharType="end"/>
      </w:r>
      <w:r w:rsidRPr="00F90F03">
        <w:rPr>
          <w:rStyle w:val="FootnoteReference"/>
          <w:b/>
          <w:color w:val="000000" w:themeColor="text1"/>
          <w:sz w:val="22"/>
          <w:szCs w:val="22"/>
        </w:rPr>
        <w:footnoteReference w:id="6"/>
      </w:r>
      <w:bookmarkEnd w:id="27"/>
    </w:p>
    <w:p w14:paraId="55172089" w14:textId="77777777" w:rsidR="0043530E" w:rsidRDefault="003F6A15" w:rsidP="0039576C">
      <w:pPr>
        <w:spacing w:before="120"/>
        <w:ind w:left="360"/>
        <w:rPr>
          <w:szCs w:val="24"/>
        </w:rPr>
      </w:pPr>
      <w:r>
        <w:rPr>
          <w:szCs w:val="24"/>
        </w:rPr>
        <w:t xml:space="preserve">Pipeline </w:t>
      </w:r>
      <w:r w:rsidR="00AD2AC5">
        <w:rPr>
          <w:szCs w:val="24"/>
        </w:rPr>
        <w:t xml:space="preserve">compressors are important components of </w:t>
      </w:r>
      <w:r w:rsidR="00C736F6">
        <w:rPr>
          <w:szCs w:val="24"/>
        </w:rPr>
        <w:t xml:space="preserve">natural gas </w:t>
      </w:r>
      <w:r w:rsidR="00AD2AC5">
        <w:rPr>
          <w:szCs w:val="24"/>
        </w:rPr>
        <w:t xml:space="preserve">transport system </w:t>
      </w:r>
      <w:r w:rsidR="00C736F6">
        <w:rPr>
          <w:szCs w:val="24"/>
        </w:rPr>
        <w:t xml:space="preserve">and </w:t>
      </w:r>
      <w:r w:rsidR="00AD2AC5">
        <w:rPr>
          <w:szCs w:val="24"/>
        </w:rPr>
        <w:t>are used to convey the</w:t>
      </w:r>
      <w:r w:rsidR="00C736F6">
        <w:rPr>
          <w:szCs w:val="24"/>
        </w:rPr>
        <w:t xml:space="preserve"> fuel</w:t>
      </w:r>
      <w:r w:rsidR="00AD2AC5">
        <w:rPr>
          <w:szCs w:val="24"/>
        </w:rPr>
        <w:t xml:space="preserve"> through pipelines over long distances for distribution to end-use consumers or rerouting into storage are</w:t>
      </w:r>
      <w:r w:rsidR="0039576C">
        <w:rPr>
          <w:szCs w:val="24"/>
        </w:rPr>
        <w:t>as during periods of low demand.</w:t>
      </w:r>
      <w:r w:rsidR="0039576C">
        <w:rPr>
          <w:rStyle w:val="FootnoteReference"/>
          <w:szCs w:val="24"/>
        </w:rPr>
        <w:footnoteReference w:id="7"/>
      </w:r>
      <w:r w:rsidR="0039576C">
        <w:rPr>
          <w:szCs w:val="24"/>
        </w:rPr>
        <w:t xml:space="preserve"> </w:t>
      </w:r>
    </w:p>
    <w:p w14:paraId="73481397" w14:textId="77777777" w:rsidR="0043530E" w:rsidRDefault="00AD2AC5" w:rsidP="00164472">
      <w:pPr>
        <w:spacing w:before="120"/>
        <w:ind w:left="360"/>
        <w:rPr>
          <w:szCs w:val="24"/>
        </w:rPr>
      </w:pPr>
      <w:r>
        <w:rPr>
          <w:szCs w:val="24"/>
        </w:rPr>
        <w:lastRenderedPageBreak/>
        <w:t>The number of compressor station facilities located along a natural gas pipeline</w:t>
      </w:r>
      <w:r w:rsidR="0039576C">
        <w:rPr>
          <w:szCs w:val="24"/>
        </w:rPr>
        <w:t xml:space="preserve"> </w:t>
      </w:r>
      <w:r>
        <w:rPr>
          <w:szCs w:val="24"/>
        </w:rPr>
        <w:t xml:space="preserve">(one every </w:t>
      </w:r>
      <w:r>
        <w:rPr>
          <w:color w:val="000000"/>
        </w:rPr>
        <w:t>40-100 miles)</w:t>
      </w:r>
      <w:r>
        <w:rPr>
          <w:rStyle w:val="FootnoteReference"/>
          <w:color w:val="000000"/>
        </w:rPr>
        <w:footnoteReference w:id="8"/>
      </w:r>
      <w:r>
        <w:rPr>
          <w:szCs w:val="24"/>
        </w:rPr>
        <w:t>, and the amount of pressure they generate (200-1,500 pounds per square inch (psi)</w:t>
      </w:r>
      <w:r>
        <w:rPr>
          <w:rStyle w:val="FootnoteReference"/>
          <w:szCs w:val="24"/>
        </w:rPr>
        <w:footnoteReference w:id="9"/>
      </w:r>
      <w:r>
        <w:rPr>
          <w:szCs w:val="24"/>
        </w:rPr>
        <w:t>, vary depending on</w:t>
      </w:r>
      <w:r w:rsidR="0043530E">
        <w:rPr>
          <w:szCs w:val="24"/>
        </w:rPr>
        <w:t>:</w:t>
      </w:r>
      <w:r>
        <w:rPr>
          <w:szCs w:val="24"/>
        </w:rPr>
        <w:t xml:space="preserve"> </w:t>
      </w:r>
    </w:p>
    <w:p w14:paraId="2F24704F" w14:textId="6E775CC1" w:rsidR="0043530E" w:rsidRDefault="00AD2AC5" w:rsidP="004F1AD2">
      <w:pPr>
        <w:pStyle w:val="ListParagraph"/>
        <w:numPr>
          <w:ilvl w:val="0"/>
          <w:numId w:val="18"/>
        </w:numPr>
        <w:spacing w:before="60"/>
        <w:contextualSpacing w:val="0"/>
        <w:rPr>
          <w:szCs w:val="24"/>
        </w:rPr>
      </w:pPr>
      <w:r w:rsidRPr="0043530E">
        <w:rPr>
          <w:szCs w:val="24"/>
        </w:rPr>
        <w:t xml:space="preserve">the topography of the area across </w:t>
      </w:r>
      <w:r w:rsidR="004569A4">
        <w:rPr>
          <w:szCs w:val="24"/>
        </w:rPr>
        <w:t xml:space="preserve">which </w:t>
      </w:r>
      <w:r w:rsidRPr="0043530E">
        <w:rPr>
          <w:szCs w:val="24"/>
        </w:rPr>
        <w:t>the pipelines traverse</w:t>
      </w:r>
      <w:r w:rsidRPr="007C4DFA">
        <w:rPr>
          <w:color w:val="000000"/>
        </w:rPr>
        <w:t xml:space="preserve"> (those on </w:t>
      </w:r>
      <w:r w:rsidRPr="007C4DFA">
        <w:rPr>
          <w:color w:val="000000"/>
          <w:szCs w:val="24"/>
        </w:rPr>
        <w:t>hilly terrain require more frequent pressure increases than on flat terrain</w:t>
      </w:r>
      <w:r w:rsidRPr="007C4DFA">
        <w:rPr>
          <w:color w:val="000000"/>
        </w:rPr>
        <w:t>)</w:t>
      </w:r>
    </w:p>
    <w:p w14:paraId="23F54245" w14:textId="77777777" w:rsidR="0043530E" w:rsidRDefault="00AD2AC5" w:rsidP="007C4DFA">
      <w:pPr>
        <w:pStyle w:val="ListParagraph"/>
        <w:numPr>
          <w:ilvl w:val="0"/>
          <w:numId w:val="18"/>
        </w:numPr>
        <w:spacing w:before="120"/>
        <w:rPr>
          <w:szCs w:val="24"/>
        </w:rPr>
      </w:pPr>
      <w:r w:rsidRPr="0043530E">
        <w:rPr>
          <w:szCs w:val="24"/>
        </w:rPr>
        <w:t>the pipeline length and diamete</w:t>
      </w:r>
      <w:r w:rsidR="0043530E">
        <w:rPr>
          <w:szCs w:val="24"/>
        </w:rPr>
        <w:t>r</w:t>
      </w:r>
    </w:p>
    <w:p w14:paraId="12FC140E" w14:textId="77777777" w:rsidR="0043530E" w:rsidRDefault="00AD2AC5" w:rsidP="007C4DFA">
      <w:pPr>
        <w:pStyle w:val="ListParagraph"/>
        <w:numPr>
          <w:ilvl w:val="0"/>
          <w:numId w:val="18"/>
        </w:numPr>
        <w:spacing w:before="120"/>
        <w:rPr>
          <w:szCs w:val="24"/>
        </w:rPr>
      </w:pPr>
      <w:r w:rsidRPr="0043530E">
        <w:rPr>
          <w:szCs w:val="24"/>
        </w:rPr>
        <w:t>the product being moved</w:t>
      </w:r>
    </w:p>
    <w:p w14:paraId="6B9A1F65" w14:textId="77777777" w:rsidR="0043530E" w:rsidRPr="007C4DFA" w:rsidRDefault="0043530E" w:rsidP="007C4DFA">
      <w:pPr>
        <w:pStyle w:val="ListParagraph"/>
        <w:numPr>
          <w:ilvl w:val="0"/>
          <w:numId w:val="18"/>
        </w:numPr>
        <w:spacing w:before="120"/>
        <w:rPr>
          <w:szCs w:val="24"/>
        </w:rPr>
      </w:pPr>
      <w:r>
        <w:rPr>
          <w:color w:val="000000"/>
          <w:szCs w:val="24"/>
        </w:rPr>
        <w:t xml:space="preserve">the </w:t>
      </w:r>
      <w:r w:rsidR="00AD2AC5" w:rsidRPr="007C4DFA">
        <w:rPr>
          <w:color w:val="000000"/>
          <w:szCs w:val="24"/>
        </w:rPr>
        <w:t>design characteristics of the compressor or pump</w:t>
      </w:r>
      <w:r w:rsidR="00AD2AC5" w:rsidRPr="007C4DFA">
        <w:rPr>
          <w:color w:val="000000"/>
        </w:rPr>
        <w:t xml:space="preserve"> </w:t>
      </w:r>
    </w:p>
    <w:p w14:paraId="12B35C62" w14:textId="77777777" w:rsidR="00AD2AC5" w:rsidRPr="0043530E" w:rsidRDefault="00AD2AC5" w:rsidP="007C4DFA">
      <w:pPr>
        <w:pStyle w:val="ListParagraph"/>
        <w:numPr>
          <w:ilvl w:val="0"/>
          <w:numId w:val="18"/>
        </w:numPr>
        <w:spacing w:before="120"/>
        <w:rPr>
          <w:szCs w:val="24"/>
        </w:rPr>
      </w:pPr>
      <w:r w:rsidRPr="0043530E">
        <w:rPr>
          <w:szCs w:val="24"/>
        </w:rPr>
        <w:t>“Supply and demand can also be a factor at times in the level of compression required for the flow of the natural gas.”</w:t>
      </w:r>
      <w:r>
        <w:rPr>
          <w:rStyle w:val="FootnoteReference"/>
          <w:szCs w:val="24"/>
        </w:rPr>
        <w:footnoteReference w:id="10"/>
      </w:r>
      <w:r w:rsidRPr="0043530E">
        <w:rPr>
          <w:szCs w:val="24"/>
        </w:rPr>
        <w:t xml:space="preserve"> </w:t>
      </w:r>
    </w:p>
    <w:p w14:paraId="05EBC44B" w14:textId="40E67275" w:rsidR="00AD2AC5" w:rsidRDefault="0043530E" w:rsidP="00454AC8">
      <w:pPr>
        <w:ind w:left="360"/>
        <w:rPr>
          <w:szCs w:val="24"/>
        </w:rPr>
      </w:pPr>
      <w:r>
        <w:rPr>
          <w:szCs w:val="24"/>
        </w:rPr>
        <w:t xml:space="preserve">The compressor unit </w:t>
      </w:r>
      <w:r w:rsidR="00AD2AC5">
        <w:rPr>
          <w:szCs w:val="24"/>
        </w:rPr>
        <w:t>is the primary equipment “which actually compresses the gas”. “Some compressor stations may have multiple compressor units depending on the needs of the pipeline.”</w:t>
      </w:r>
      <w:r w:rsidR="00AD2AC5">
        <w:rPr>
          <w:rStyle w:val="FootnoteReference"/>
          <w:szCs w:val="24"/>
        </w:rPr>
        <w:footnoteReference w:id="11"/>
      </w:r>
      <w:r w:rsidR="00AD2AC5">
        <w:rPr>
          <w:szCs w:val="24"/>
        </w:rPr>
        <w:t xml:space="preserve"> </w:t>
      </w:r>
      <w:r w:rsidR="00A80C47">
        <w:rPr>
          <w:szCs w:val="24"/>
        </w:rPr>
        <w:t xml:space="preserve">A </w:t>
      </w:r>
      <w:r w:rsidR="00F23814">
        <w:rPr>
          <w:szCs w:val="24"/>
        </w:rPr>
        <w:t>prime mover provide</w:t>
      </w:r>
      <w:r w:rsidR="004569A4">
        <w:rPr>
          <w:szCs w:val="24"/>
        </w:rPr>
        <w:t>s</w:t>
      </w:r>
      <w:r w:rsidR="00F23814">
        <w:rPr>
          <w:szCs w:val="24"/>
        </w:rPr>
        <w:t xml:space="preserve"> power to the compressor, </w:t>
      </w:r>
      <w:r w:rsidR="00AD2AC5">
        <w:rPr>
          <w:szCs w:val="24"/>
        </w:rPr>
        <w:t xml:space="preserve">which </w:t>
      </w:r>
      <w:r w:rsidR="00F23814">
        <w:rPr>
          <w:szCs w:val="24"/>
        </w:rPr>
        <w:t>is generally</w:t>
      </w:r>
      <w:r w:rsidR="00AD2AC5">
        <w:rPr>
          <w:szCs w:val="24"/>
        </w:rPr>
        <w:t xml:space="preserve"> one of the three following types</w:t>
      </w:r>
      <w:r w:rsidR="00AD2AC5">
        <w:rPr>
          <w:rStyle w:val="FootnoteReference"/>
          <w:szCs w:val="24"/>
        </w:rPr>
        <w:footnoteReference w:id="12"/>
      </w:r>
      <w:r w:rsidR="00AD2AC5">
        <w:rPr>
          <w:szCs w:val="24"/>
        </w:rPr>
        <w:t>:</w:t>
      </w:r>
    </w:p>
    <w:p w14:paraId="40D61690" w14:textId="77777777" w:rsidR="00AD2AC5" w:rsidRDefault="00AD2AC5" w:rsidP="00AD2AC5">
      <w:pPr>
        <w:pStyle w:val="ListParagraph"/>
        <w:numPr>
          <w:ilvl w:val="0"/>
          <w:numId w:val="10"/>
        </w:numPr>
        <w:ind w:left="1080" w:hanging="180"/>
        <w:rPr>
          <w:szCs w:val="24"/>
        </w:rPr>
      </w:pPr>
      <w:r>
        <w:rPr>
          <w:szCs w:val="24"/>
          <w:u w:val="single"/>
        </w:rPr>
        <w:t xml:space="preserve">Turbines with Centrifugal Compressors </w:t>
      </w:r>
      <w:r>
        <w:rPr>
          <w:szCs w:val="24"/>
        </w:rPr>
        <w:t>– These units use turbines for compression fueled by natural gas from the pipeline itself.</w:t>
      </w:r>
    </w:p>
    <w:p w14:paraId="702C5752" w14:textId="77777777" w:rsidR="00AD2AC5" w:rsidRDefault="00AD2AC5" w:rsidP="00AD2AC5">
      <w:pPr>
        <w:pStyle w:val="ListParagraph"/>
        <w:numPr>
          <w:ilvl w:val="0"/>
          <w:numId w:val="10"/>
        </w:numPr>
        <w:ind w:left="1080" w:hanging="180"/>
        <w:rPr>
          <w:szCs w:val="24"/>
        </w:rPr>
      </w:pPr>
      <w:r>
        <w:rPr>
          <w:szCs w:val="24"/>
          <w:u w:val="single"/>
        </w:rPr>
        <w:t>Electric Motors with Centrifugal Compressors</w:t>
      </w:r>
      <w:r>
        <w:rPr>
          <w:szCs w:val="24"/>
        </w:rPr>
        <w:t xml:space="preserve"> – These are also centrifugal compressors but are powered by high voltage electric motors.</w:t>
      </w:r>
    </w:p>
    <w:p w14:paraId="701EC9CA" w14:textId="77777777" w:rsidR="00AD2AC5" w:rsidRDefault="00AD2AC5" w:rsidP="00AD2AC5">
      <w:pPr>
        <w:pStyle w:val="ListParagraph"/>
        <w:numPr>
          <w:ilvl w:val="0"/>
          <w:numId w:val="10"/>
        </w:numPr>
        <w:ind w:left="1080" w:hanging="180"/>
        <w:rPr>
          <w:szCs w:val="24"/>
        </w:rPr>
      </w:pPr>
      <w:r>
        <w:rPr>
          <w:szCs w:val="24"/>
          <w:u w:val="single"/>
        </w:rPr>
        <w:t>Reciprocating Engine with Reciprocating Compressor</w:t>
      </w:r>
      <w:r>
        <w:rPr>
          <w:szCs w:val="24"/>
        </w:rPr>
        <w:t xml:space="preserve"> – These compressors use large engines “to crank reciprocating pistons located within cylindrical cases on the side of the unit” to compress the gas, and are fueled by natural gas.</w:t>
      </w:r>
      <w:r>
        <w:rPr>
          <w:rStyle w:val="FootnoteReference"/>
          <w:szCs w:val="24"/>
        </w:rPr>
        <w:footnoteReference w:id="13"/>
      </w:r>
    </w:p>
    <w:p w14:paraId="683044E3" w14:textId="77777777" w:rsidR="00965BF2" w:rsidRPr="00F04FFD" w:rsidRDefault="00414869" w:rsidP="00692512">
      <w:pPr>
        <w:spacing w:before="200" w:after="120" w:line="259" w:lineRule="auto"/>
        <w:ind w:left="360"/>
        <w:rPr>
          <w:szCs w:val="24"/>
        </w:rPr>
      </w:pPr>
      <w:r>
        <w:rPr>
          <w:szCs w:val="24"/>
        </w:rPr>
        <w:t xml:space="preserve">In </w:t>
      </w:r>
      <w:r w:rsidRPr="00F04FFD">
        <w:rPr>
          <w:szCs w:val="24"/>
        </w:rPr>
        <w:t>2010</w:t>
      </w:r>
      <w:r>
        <w:rPr>
          <w:szCs w:val="24"/>
        </w:rPr>
        <w:t>,</w:t>
      </w:r>
      <w:r w:rsidRPr="00F04FFD">
        <w:rPr>
          <w:szCs w:val="24"/>
        </w:rPr>
        <w:t xml:space="preserve"> </w:t>
      </w:r>
      <w:r w:rsidR="003444B4">
        <w:rPr>
          <w:szCs w:val="24"/>
        </w:rPr>
        <w:t>t</w:t>
      </w:r>
      <w:r w:rsidR="003444B4" w:rsidRPr="00F04FFD">
        <w:rPr>
          <w:szCs w:val="24"/>
        </w:rPr>
        <w:t xml:space="preserve">he </w:t>
      </w:r>
      <w:r w:rsidR="00965BF2" w:rsidRPr="00F04FFD">
        <w:rPr>
          <w:szCs w:val="24"/>
        </w:rPr>
        <w:t xml:space="preserve">OTC identified natural gas pipeline compressor prime movers as a potential emission </w:t>
      </w:r>
      <w:r>
        <w:rPr>
          <w:szCs w:val="24"/>
        </w:rPr>
        <w:t xml:space="preserve">source </w:t>
      </w:r>
      <w:r w:rsidRPr="00F04FFD">
        <w:rPr>
          <w:szCs w:val="24"/>
        </w:rPr>
        <w:t xml:space="preserve">category </w:t>
      </w:r>
      <w:r>
        <w:rPr>
          <w:szCs w:val="24"/>
        </w:rPr>
        <w:t xml:space="preserve">within the OTR </w:t>
      </w:r>
      <w:r w:rsidR="00ED3AB0">
        <w:rPr>
          <w:szCs w:val="24"/>
        </w:rPr>
        <w:t>and developed</w:t>
      </w:r>
      <w:r w:rsidR="00ED3AB0" w:rsidRPr="00F04FFD">
        <w:rPr>
          <w:szCs w:val="24"/>
        </w:rPr>
        <w:t xml:space="preserve"> </w:t>
      </w:r>
      <w:r w:rsidR="00965BF2" w:rsidRPr="00F04FFD">
        <w:rPr>
          <w:szCs w:val="24"/>
        </w:rPr>
        <w:t xml:space="preserve">a white paper </w:t>
      </w:r>
      <w:r w:rsidRPr="00F04FFD">
        <w:rPr>
          <w:szCs w:val="24"/>
        </w:rPr>
        <w:t xml:space="preserve">for control strategies </w:t>
      </w:r>
      <w:r>
        <w:rPr>
          <w:szCs w:val="24"/>
        </w:rPr>
        <w:t xml:space="preserve">and </w:t>
      </w:r>
      <w:r w:rsidR="00965BF2" w:rsidRPr="00F04FFD">
        <w:rPr>
          <w:szCs w:val="24"/>
        </w:rPr>
        <w:t>recommend</w:t>
      </w:r>
      <w:r>
        <w:rPr>
          <w:szCs w:val="24"/>
        </w:rPr>
        <w:t>ed</w:t>
      </w:r>
      <w:r w:rsidR="00965BF2" w:rsidRPr="00F04FFD">
        <w:rPr>
          <w:szCs w:val="24"/>
        </w:rPr>
        <w:t xml:space="preserve"> potential Commission action, e.g., adopt a model rule</w:t>
      </w:r>
      <w:r w:rsidR="006C4616">
        <w:rPr>
          <w:rStyle w:val="FootnoteReference"/>
          <w:szCs w:val="24"/>
        </w:rPr>
        <w:footnoteReference w:id="14"/>
      </w:r>
      <w:r w:rsidR="00965BF2" w:rsidRPr="00F04FFD">
        <w:rPr>
          <w:szCs w:val="24"/>
        </w:rPr>
        <w:t xml:space="preserve"> to achieve NOx emissions reductions from this emission source.</w:t>
      </w:r>
    </w:p>
    <w:p w14:paraId="1ECFB812" w14:textId="77777777" w:rsidR="003212D4" w:rsidRDefault="00965BF2" w:rsidP="007C4DFA">
      <w:pPr>
        <w:spacing w:after="60" w:line="259" w:lineRule="auto"/>
        <w:ind w:left="360"/>
        <w:rPr>
          <w:szCs w:val="24"/>
        </w:rPr>
      </w:pPr>
      <w:r w:rsidRPr="00F04FFD">
        <w:rPr>
          <w:szCs w:val="24"/>
        </w:rPr>
        <w:t xml:space="preserve">Within the OTR, natural gas pipeline compressor prime movers fueled by natural gas are used in several phases of natural gas supply: </w:t>
      </w:r>
    </w:p>
    <w:p w14:paraId="21D54AD4" w14:textId="77777777" w:rsidR="003212D4" w:rsidRDefault="00965BF2" w:rsidP="007C4DFA">
      <w:pPr>
        <w:spacing w:after="20" w:line="259" w:lineRule="auto"/>
        <w:ind w:left="720"/>
        <w:rPr>
          <w:szCs w:val="24"/>
        </w:rPr>
      </w:pPr>
      <w:r w:rsidRPr="00F04FFD">
        <w:rPr>
          <w:szCs w:val="24"/>
        </w:rPr>
        <w:t xml:space="preserve">1) </w:t>
      </w:r>
      <w:proofErr w:type="gramStart"/>
      <w:r w:rsidRPr="00F04FFD">
        <w:rPr>
          <w:szCs w:val="24"/>
        </w:rPr>
        <w:t>gathering</w:t>
      </w:r>
      <w:proofErr w:type="gramEnd"/>
      <w:r w:rsidRPr="00F04FFD">
        <w:rPr>
          <w:szCs w:val="24"/>
        </w:rPr>
        <w:t xml:space="preserve"> the natural gas from the well field and transporting it to the main transportation pipeline system; </w:t>
      </w:r>
    </w:p>
    <w:p w14:paraId="0EA47B03" w14:textId="77777777" w:rsidR="003212D4" w:rsidRDefault="00965BF2" w:rsidP="00A11BC9">
      <w:pPr>
        <w:spacing w:after="60" w:line="259" w:lineRule="auto"/>
        <w:ind w:left="720"/>
        <w:rPr>
          <w:szCs w:val="24"/>
        </w:rPr>
      </w:pPr>
      <w:r w:rsidRPr="00F04FFD">
        <w:rPr>
          <w:szCs w:val="24"/>
        </w:rPr>
        <w:lastRenderedPageBreak/>
        <w:t xml:space="preserve">2) </w:t>
      </w:r>
      <w:proofErr w:type="gramStart"/>
      <w:r w:rsidRPr="00F04FFD">
        <w:rPr>
          <w:szCs w:val="24"/>
        </w:rPr>
        <w:t>moving</w:t>
      </w:r>
      <w:proofErr w:type="gramEnd"/>
      <w:r w:rsidRPr="00F04FFD">
        <w:rPr>
          <w:szCs w:val="24"/>
        </w:rPr>
        <w:t xml:space="preserve"> natural gas through the main pipeline system to distribution points and end users; and </w:t>
      </w:r>
    </w:p>
    <w:p w14:paraId="570FED51" w14:textId="77777777" w:rsidR="004D2365" w:rsidRDefault="00965BF2" w:rsidP="007C4DFA">
      <w:pPr>
        <w:spacing w:after="120" w:line="259" w:lineRule="auto"/>
        <w:ind w:left="720"/>
        <w:rPr>
          <w:szCs w:val="24"/>
        </w:rPr>
      </w:pPr>
      <w:r w:rsidRPr="00F04FFD">
        <w:rPr>
          <w:szCs w:val="24"/>
        </w:rPr>
        <w:t xml:space="preserve">3) </w:t>
      </w:r>
      <w:proofErr w:type="gramStart"/>
      <w:r w:rsidRPr="00F04FFD">
        <w:rPr>
          <w:szCs w:val="24"/>
        </w:rPr>
        <w:t>injecting</w:t>
      </w:r>
      <w:proofErr w:type="gramEnd"/>
      <w:r w:rsidRPr="00F04FFD">
        <w:rPr>
          <w:szCs w:val="24"/>
        </w:rPr>
        <w:t xml:space="preserve"> and extracting natural gas from gas storage facilities</w:t>
      </w:r>
      <w:r w:rsidR="00A62F14">
        <w:rPr>
          <w:szCs w:val="24"/>
        </w:rPr>
        <w:t>, (Fig. 4)</w:t>
      </w:r>
      <w:r w:rsidRPr="00F04FFD">
        <w:rPr>
          <w:szCs w:val="24"/>
        </w:rPr>
        <w:t xml:space="preserve">.  </w:t>
      </w:r>
    </w:p>
    <w:p w14:paraId="1910245B" w14:textId="77777777" w:rsidR="004D2365" w:rsidRDefault="004D2365" w:rsidP="00B040BF">
      <w:pPr>
        <w:ind w:left="360"/>
        <w:jc w:val="center"/>
        <w:rPr>
          <w:szCs w:val="24"/>
        </w:rPr>
      </w:pPr>
      <w:r>
        <w:rPr>
          <w:noProof/>
          <w:szCs w:val="24"/>
        </w:rPr>
        <w:drawing>
          <wp:inline distT="0" distB="0" distL="0" distR="0" wp14:anchorId="37DE4ED2" wp14:editId="66829C23">
            <wp:extent cx="4821157" cy="2813685"/>
            <wp:effectExtent l="19050" t="19050" r="1778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pelineSystem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9621" cy="2818625"/>
                    </a:xfrm>
                    <a:prstGeom prst="rect">
                      <a:avLst/>
                    </a:prstGeom>
                    <a:ln>
                      <a:solidFill>
                        <a:schemeClr val="tx1"/>
                      </a:solidFill>
                    </a:ln>
                  </pic:spPr>
                </pic:pic>
              </a:graphicData>
            </a:graphic>
          </wp:inline>
        </w:drawing>
      </w:r>
    </w:p>
    <w:p w14:paraId="1B4F6810" w14:textId="77777777" w:rsidR="0087169F" w:rsidRPr="009100F4" w:rsidRDefault="001833CC" w:rsidP="001833CC">
      <w:pPr>
        <w:pStyle w:val="Caption"/>
        <w:jc w:val="center"/>
        <w:rPr>
          <w:b/>
          <w:i w:val="0"/>
          <w:color w:val="auto"/>
          <w:sz w:val="22"/>
          <w:szCs w:val="22"/>
        </w:rPr>
      </w:pPr>
      <w:bookmarkStart w:id="28" w:name="_Toc490140184"/>
      <w:bookmarkStart w:id="29" w:name="_Toc491350006"/>
      <w:r w:rsidRPr="001833CC">
        <w:rPr>
          <w:b/>
          <w:i w:val="0"/>
          <w:color w:val="000000" w:themeColor="text1"/>
          <w:sz w:val="20"/>
          <w:szCs w:val="20"/>
        </w:rPr>
        <w:t xml:space="preserve">Figure </w:t>
      </w:r>
      <w:r w:rsidR="00190587" w:rsidRPr="001833CC">
        <w:rPr>
          <w:b/>
          <w:i w:val="0"/>
          <w:color w:val="000000" w:themeColor="text1"/>
          <w:sz w:val="20"/>
          <w:szCs w:val="20"/>
        </w:rPr>
        <w:fldChar w:fldCharType="begin"/>
      </w:r>
      <w:r w:rsidRPr="001833CC">
        <w:rPr>
          <w:b/>
          <w:i w:val="0"/>
          <w:color w:val="000000" w:themeColor="text1"/>
          <w:sz w:val="20"/>
          <w:szCs w:val="20"/>
        </w:rPr>
        <w:instrText xml:space="preserve"> SEQ Figure \* ARABIC </w:instrText>
      </w:r>
      <w:r w:rsidR="00190587" w:rsidRPr="001833CC">
        <w:rPr>
          <w:b/>
          <w:i w:val="0"/>
          <w:color w:val="000000" w:themeColor="text1"/>
          <w:sz w:val="20"/>
          <w:szCs w:val="20"/>
        </w:rPr>
        <w:fldChar w:fldCharType="separate"/>
      </w:r>
      <w:r w:rsidR="001331CA">
        <w:rPr>
          <w:b/>
          <w:i w:val="0"/>
          <w:noProof/>
          <w:color w:val="000000" w:themeColor="text1"/>
          <w:sz w:val="20"/>
          <w:szCs w:val="20"/>
        </w:rPr>
        <w:t>4</w:t>
      </w:r>
      <w:r w:rsidR="00190587" w:rsidRPr="001833CC">
        <w:rPr>
          <w:b/>
          <w:i w:val="0"/>
          <w:color w:val="000000" w:themeColor="text1"/>
          <w:sz w:val="20"/>
          <w:szCs w:val="20"/>
        </w:rPr>
        <w:fldChar w:fldCharType="end"/>
      </w:r>
      <w:r w:rsidRPr="001833CC">
        <w:rPr>
          <w:b/>
          <w:i w:val="0"/>
          <w:color w:val="000000" w:themeColor="text1"/>
          <w:sz w:val="20"/>
          <w:szCs w:val="20"/>
        </w:rPr>
        <w:t xml:space="preserve">  Overview of Oil &amp; Gas Pipeline System</w:t>
      </w:r>
      <w:r w:rsidR="00190587">
        <w:rPr>
          <w:b/>
          <w:i w:val="0"/>
          <w:color w:val="000000" w:themeColor="text1"/>
          <w:sz w:val="20"/>
          <w:szCs w:val="20"/>
        </w:rPr>
        <w:fldChar w:fldCharType="begin"/>
      </w:r>
      <w:r>
        <w:instrText xml:space="preserve"> XE "</w:instrText>
      </w:r>
      <w:r w:rsidRPr="001833CC">
        <w:rPr>
          <w:b/>
          <w:i w:val="0"/>
          <w:color w:val="000000" w:themeColor="text1"/>
          <w:sz w:val="20"/>
          <w:szCs w:val="20"/>
        </w:rPr>
        <w:instrText xml:space="preserve">Figure </w:instrText>
      </w:r>
      <w:r w:rsidRPr="001833CC">
        <w:rPr>
          <w:b/>
          <w:i w:val="0"/>
          <w:noProof/>
          <w:color w:val="000000" w:themeColor="text1"/>
          <w:sz w:val="20"/>
          <w:szCs w:val="20"/>
        </w:rPr>
        <w:instrText>4</w:instrText>
      </w:r>
      <w:r w:rsidRPr="001833CC">
        <w:rPr>
          <w:b/>
          <w:i w:val="0"/>
          <w:color w:val="000000" w:themeColor="text1"/>
          <w:sz w:val="20"/>
          <w:szCs w:val="20"/>
        </w:rPr>
        <w:instrText xml:space="preserve">  Overview of Oil &amp; Gas Pipeline System</w:instrText>
      </w:r>
      <w:r>
        <w:instrText xml:space="preserve">" </w:instrText>
      </w:r>
      <w:r w:rsidR="00190587">
        <w:rPr>
          <w:b/>
          <w:i w:val="0"/>
          <w:color w:val="000000" w:themeColor="text1"/>
          <w:sz w:val="20"/>
          <w:szCs w:val="20"/>
        </w:rPr>
        <w:fldChar w:fldCharType="end"/>
      </w:r>
      <w:r w:rsidRPr="001833CC">
        <w:rPr>
          <w:rStyle w:val="FootnoteReference"/>
          <w:b/>
          <w:i w:val="0"/>
          <w:color w:val="000000" w:themeColor="text1"/>
          <w:sz w:val="22"/>
          <w:szCs w:val="22"/>
        </w:rPr>
        <w:t xml:space="preserve"> </w:t>
      </w:r>
      <w:r w:rsidR="0087169F" w:rsidRPr="009100F4">
        <w:rPr>
          <w:rStyle w:val="FootnoteReference"/>
          <w:b/>
          <w:i w:val="0"/>
          <w:color w:val="auto"/>
          <w:sz w:val="22"/>
          <w:szCs w:val="22"/>
        </w:rPr>
        <w:footnoteReference w:id="15"/>
      </w:r>
      <w:bookmarkEnd w:id="28"/>
      <w:bookmarkEnd w:id="29"/>
    </w:p>
    <w:p w14:paraId="5057FFB5" w14:textId="77777777" w:rsidR="00951E9A" w:rsidRDefault="00965BF2" w:rsidP="00D70E58">
      <w:pPr>
        <w:spacing w:after="120" w:line="259" w:lineRule="auto"/>
        <w:ind w:left="360"/>
        <w:rPr>
          <w:szCs w:val="24"/>
        </w:rPr>
      </w:pPr>
      <w:r w:rsidRPr="00F04FFD">
        <w:rPr>
          <w:szCs w:val="24"/>
        </w:rPr>
        <w:t>These natural gas pipeline compressor prime movers</w:t>
      </w:r>
      <w:r w:rsidR="00951E9A">
        <w:rPr>
          <w:szCs w:val="24"/>
        </w:rPr>
        <w:t xml:space="preserve"> which</w:t>
      </w:r>
      <w:r w:rsidRPr="00F04FFD">
        <w:rPr>
          <w:szCs w:val="24"/>
        </w:rPr>
        <w:t xml:space="preserve"> </w:t>
      </w:r>
      <w:r w:rsidR="00E52FC7" w:rsidRPr="00F04FFD">
        <w:rPr>
          <w:szCs w:val="24"/>
        </w:rPr>
        <w:t>includ</w:t>
      </w:r>
      <w:r w:rsidR="00E52FC7">
        <w:rPr>
          <w:szCs w:val="24"/>
        </w:rPr>
        <w:t>e</w:t>
      </w:r>
      <w:r w:rsidR="00E52FC7" w:rsidRPr="00F04FFD">
        <w:rPr>
          <w:szCs w:val="24"/>
        </w:rPr>
        <w:t xml:space="preserve"> 2-stroke </w:t>
      </w:r>
      <w:r w:rsidR="00E52FC7">
        <w:rPr>
          <w:szCs w:val="24"/>
        </w:rPr>
        <w:t xml:space="preserve">and </w:t>
      </w:r>
      <w:r w:rsidR="00E52FC7" w:rsidRPr="00F04FFD">
        <w:rPr>
          <w:szCs w:val="24"/>
        </w:rPr>
        <w:t>4-stroke lean-burn internal combustion (IC) reciprocating engines, 4-stroke rich-burn IC reciprocating engines, and combustion turbines</w:t>
      </w:r>
      <w:r w:rsidR="00D806CC">
        <w:rPr>
          <w:szCs w:val="24"/>
        </w:rPr>
        <w:t>,</w:t>
      </w:r>
      <w:r w:rsidR="00951E9A">
        <w:rPr>
          <w:szCs w:val="24"/>
        </w:rPr>
        <w:t xml:space="preserve"> </w:t>
      </w:r>
      <w:r w:rsidRPr="00F04FFD">
        <w:rPr>
          <w:szCs w:val="24"/>
        </w:rPr>
        <w:t>are a significant source of NOx</w:t>
      </w:r>
      <w:r w:rsidR="00951E9A">
        <w:rPr>
          <w:szCs w:val="24"/>
        </w:rPr>
        <w:t xml:space="preserve"> </w:t>
      </w:r>
      <w:r w:rsidRPr="00F04FFD">
        <w:rPr>
          <w:szCs w:val="24"/>
        </w:rPr>
        <w:t xml:space="preserve">emissions year-round.  </w:t>
      </w:r>
      <w:r w:rsidR="00190A13">
        <w:rPr>
          <w:szCs w:val="24"/>
        </w:rPr>
        <w:t>The fossil-fuel compressor prime movers have become greater contributors to overall ozone season NOx emissions, as their operation is increased to meet the demand related to natural gas consumption by gas-fueled electric generating units during the ozone season.</w:t>
      </w:r>
    </w:p>
    <w:p w14:paraId="5AF9B10C" w14:textId="6B8BB93A" w:rsidR="00965BF2" w:rsidRDefault="00DD0D35" w:rsidP="00A11BC9">
      <w:pPr>
        <w:spacing w:after="60" w:line="259" w:lineRule="auto"/>
        <w:ind w:left="360"/>
        <w:rPr>
          <w:szCs w:val="24"/>
        </w:rPr>
      </w:pPr>
      <w:r>
        <w:rPr>
          <w:szCs w:val="24"/>
        </w:rPr>
        <w:t>According to t</w:t>
      </w:r>
      <w:r w:rsidRPr="00F04FFD">
        <w:rPr>
          <w:szCs w:val="24"/>
        </w:rPr>
        <w:t>he 20</w:t>
      </w:r>
      <w:r>
        <w:rPr>
          <w:szCs w:val="24"/>
        </w:rPr>
        <w:t>14 NEI</w:t>
      </w:r>
      <w:r w:rsidRPr="00F04FFD">
        <w:rPr>
          <w:szCs w:val="24"/>
        </w:rPr>
        <w:t xml:space="preserve"> data</w:t>
      </w:r>
      <w:r>
        <w:rPr>
          <w:szCs w:val="24"/>
        </w:rPr>
        <w:t>,</w:t>
      </w:r>
      <w:r w:rsidRPr="00F04FFD">
        <w:rPr>
          <w:szCs w:val="24"/>
        </w:rPr>
        <w:t xml:space="preserve"> </w:t>
      </w:r>
      <w:r>
        <w:rPr>
          <w:szCs w:val="24"/>
        </w:rPr>
        <w:t>n</w:t>
      </w:r>
      <w:r w:rsidRPr="00414869">
        <w:rPr>
          <w:szCs w:val="24"/>
        </w:rPr>
        <w:t xml:space="preserve">ine </w:t>
      </w:r>
      <w:r w:rsidR="00965BF2" w:rsidRPr="00414869">
        <w:rPr>
          <w:szCs w:val="24"/>
        </w:rPr>
        <w:t xml:space="preserve">OTR states (CT, MA, MD, ME, NJ, NY, PA, RI, </w:t>
      </w:r>
      <w:r w:rsidR="008D27E5">
        <w:rPr>
          <w:szCs w:val="24"/>
        </w:rPr>
        <w:t xml:space="preserve">and </w:t>
      </w:r>
      <w:commentRangeStart w:id="30"/>
      <w:r w:rsidR="001A4DF9" w:rsidRPr="00414869">
        <w:rPr>
          <w:szCs w:val="24"/>
        </w:rPr>
        <w:t>VA</w:t>
      </w:r>
      <w:commentRangeEnd w:id="30"/>
      <w:r w:rsidR="001A4DF9">
        <w:rPr>
          <w:rStyle w:val="CommentReference"/>
        </w:rPr>
        <w:commentReference w:id="30"/>
      </w:r>
      <w:r w:rsidR="00965BF2" w:rsidRPr="00414869">
        <w:rPr>
          <w:szCs w:val="24"/>
        </w:rPr>
        <w:t>)</w:t>
      </w:r>
      <w:r w:rsidR="00D806CC" w:rsidRPr="00D806CC">
        <w:rPr>
          <w:szCs w:val="24"/>
        </w:rPr>
        <w:t xml:space="preserve"> </w:t>
      </w:r>
      <w:r w:rsidR="00D806CC" w:rsidRPr="00414869">
        <w:rPr>
          <w:szCs w:val="24"/>
        </w:rPr>
        <w:t>have large natural gas compressor facilities</w:t>
      </w:r>
      <w:r w:rsidR="00965BF2" w:rsidRPr="00414869">
        <w:rPr>
          <w:szCs w:val="24"/>
        </w:rPr>
        <w:t xml:space="preserve"> </w:t>
      </w:r>
      <w:r w:rsidR="00D806CC">
        <w:rPr>
          <w:szCs w:val="24"/>
        </w:rPr>
        <w:t xml:space="preserve">with </w:t>
      </w:r>
      <w:r w:rsidR="00965BF2" w:rsidRPr="00414869">
        <w:rPr>
          <w:szCs w:val="24"/>
        </w:rPr>
        <w:t xml:space="preserve">three </w:t>
      </w:r>
      <w:r w:rsidR="00D806CC">
        <w:rPr>
          <w:szCs w:val="24"/>
        </w:rPr>
        <w:t>of them</w:t>
      </w:r>
      <w:r w:rsidR="00965BF2" w:rsidRPr="00414869">
        <w:rPr>
          <w:szCs w:val="24"/>
        </w:rPr>
        <w:t xml:space="preserve"> </w:t>
      </w:r>
      <w:r w:rsidR="00D806CC" w:rsidRPr="00414869">
        <w:rPr>
          <w:szCs w:val="24"/>
        </w:rPr>
        <w:t>(MD, NY, PA)</w:t>
      </w:r>
      <w:r w:rsidR="00D806CC">
        <w:rPr>
          <w:szCs w:val="24"/>
        </w:rPr>
        <w:t xml:space="preserve"> </w:t>
      </w:r>
      <w:r w:rsidR="00965BF2" w:rsidRPr="00414869">
        <w:rPr>
          <w:szCs w:val="24"/>
        </w:rPr>
        <w:t>contain</w:t>
      </w:r>
      <w:r w:rsidR="00D806CC">
        <w:rPr>
          <w:szCs w:val="24"/>
        </w:rPr>
        <w:t>ing</w:t>
      </w:r>
      <w:r w:rsidR="00965BF2" w:rsidRPr="00414869">
        <w:rPr>
          <w:szCs w:val="24"/>
        </w:rPr>
        <w:t xml:space="preserve"> </w:t>
      </w:r>
      <w:r w:rsidR="00D806CC">
        <w:rPr>
          <w:szCs w:val="24"/>
        </w:rPr>
        <w:t>several</w:t>
      </w:r>
      <w:r w:rsidR="00965BF2" w:rsidRPr="00414869">
        <w:rPr>
          <w:szCs w:val="24"/>
        </w:rPr>
        <w:t xml:space="preserve"> well field compressors</w:t>
      </w:r>
      <w:r>
        <w:rPr>
          <w:szCs w:val="24"/>
        </w:rPr>
        <w:t>,</w:t>
      </w:r>
      <w:r w:rsidRPr="00414869">
        <w:rPr>
          <w:szCs w:val="24"/>
        </w:rPr>
        <w:t xml:space="preserve"> </w:t>
      </w:r>
      <w:r w:rsidR="00965BF2" w:rsidRPr="00414869">
        <w:rPr>
          <w:szCs w:val="24"/>
        </w:rPr>
        <w:t xml:space="preserve">and two </w:t>
      </w:r>
      <w:r w:rsidR="00D806CC" w:rsidRPr="00414869">
        <w:rPr>
          <w:szCs w:val="24"/>
        </w:rPr>
        <w:t>(PA, NY)</w:t>
      </w:r>
      <w:r w:rsidR="00D806CC">
        <w:rPr>
          <w:szCs w:val="24"/>
        </w:rPr>
        <w:t xml:space="preserve"> </w:t>
      </w:r>
      <w:r w:rsidR="00D806CC" w:rsidRPr="00414869">
        <w:rPr>
          <w:szCs w:val="24"/>
        </w:rPr>
        <w:t>hav</w:t>
      </w:r>
      <w:r w:rsidR="00D806CC">
        <w:rPr>
          <w:szCs w:val="24"/>
        </w:rPr>
        <w:t>ing</w:t>
      </w:r>
      <w:r w:rsidR="00D806CC" w:rsidRPr="00414869">
        <w:rPr>
          <w:szCs w:val="24"/>
        </w:rPr>
        <w:t xml:space="preserve"> </w:t>
      </w:r>
      <w:r w:rsidR="00965BF2" w:rsidRPr="00414869">
        <w:rPr>
          <w:szCs w:val="24"/>
        </w:rPr>
        <w:t>natural gas underground storage facilities</w:t>
      </w:r>
      <w:r w:rsidR="003444B4">
        <w:rPr>
          <w:szCs w:val="24"/>
        </w:rPr>
        <w:t xml:space="preserve"> </w:t>
      </w:r>
      <w:r w:rsidR="003444B4" w:rsidRPr="008C22EC">
        <w:rPr>
          <w:szCs w:val="24"/>
          <w:highlight w:val="yellow"/>
        </w:rPr>
        <w:t>(See attached Spreadsheet-Appendix)</w:t>
      </w:r>
      <w:r w:rsidR="00E52FC7" w:rsidRPr="00BA34F3">
        <w:rPr>
          <w:szCs w:val="24"/>
        </w:rPr>
        <w:t>.</w:t>
      </w:r>
      <w:r w:rsidR="00E52FC7">
        <w:rPr>
          <w:szCs w:val="24"/>
        </w:rPr>
        <w:t xml:space="preserve"> </w:t>
      </w:r>
      <w:r w:rsidR="004569A4">
        <w:rPr>
          <w:szCs w:val="24"/>
        </w:rPr>
        <w:t>These include</w:t>
      </w:r>
      <w:r>
        <w:rPr>
          <w:szCs w:val="24"/>
        </w:rPr>
        <w:t>:</w:t>
      </w:r>
    </w:p>
    <w:p w14:paraId="380A0196" w14:textId="77777777" w:rsidR="007C4DFA" w:rsidRPr="00F04FFD" w:rsidRDefault="005A57C9" w:rsidP="007C4DFA">
      <w:pPr>
        <w:pStyle w:val="ListParagraph"/>
        <w:numPr>
          <w:ilvl w:val="0"/>
          <w:numId w:val="1"/>
        </w:numPr>
        <w:spacing w:after="60" w:line="259" w:lineRule="auto"/>
        <w:ind w:left="900" w:hanging="180"/>
        <w:contextualSpacing w:val="0"/>
        <w:rPr>
          <w:szCs w:val="24"/>
        </w:rPr>
      </w:pPr>
      <w:r>
        <w:rPr>
          <w:szCs w:val="24"/>
        </w:rPr>
        <w:t>More than 900 reciprocating engine prime movers with ratings up t</w:t>
      </w:r>
      <w:r w:rsidR="007C4DFA">
        <w:rPr>
          <w:szCs w:val="24"/>
        </w:rPr>
        <w:t>o</w:t>
      </w:r>
      <w:r>
        <w:rPr>
          <w:szCs w:val="24"/>
        </w:rPr>
        <w:t xml:space="preserve"> 7,500HP</w:t>
      </w:r>
    </w:p>
    <w:p w14:paraId="72EBA45E" w14:textId="77777777" w:rsidR="00965BF2" w:rsidRDefault="005A57C9" w:rsidP="007C4DFA">
      <w:pPr>
        <w:pStyle w:val="ListParagraph"/>
        <w:numPr>
          <w:ilvl w:val="0"/>
          <w:numId w:val="1"/>
        </w:numPr>
        <w:spacing w:after="60" w:line="259" w:lineRule="auto"/>
        <w:ind w:left="900" w:hanging="180"/>
        <w:contextualSpacing w:val="0"/>
        <w:rPr>
          <w:szCs w:val="24"/>
        </w:rPr>
      </w:pPr>
      <w:r>
        <w:rPr>
          <w:szCs w:val="24"/>
        </w:rPr>
        <w:t>More than 150 combustion turbine prime movers with rating up to 37,000HP</w:t>
      </w:r>
    </w:p>
    <w:p w14:paraId="550D91EC" w14:textId="77777777" w:rsidR="008E6D21" w:rsidRDefault="008F2CB2" w:rsidP="008B38B5">
      <w:pPr>
        <w:pStyle w:val="Heading3"/>
      </w:pPr>
      <w:bookmarkStart w:id="31" w:name="_Toc491349930"/>
      <w:bookmarkEnd w:id="23"/>
      <w:r>
        <w:t xml:space="preserve">Emissions </w:t>
      </w:r>
      <w:r w:rsidR="00281938">
        <w:t>Control</w:t>
      </w:r>
      <w:bookmarkEnd w:id="31"/>
      <w:r w:rsidR="009F1025">
        <w:t xml:space="preserve"> </w:t>
      </w:r>
    </w:p>
    <w:p w14:paraId="04A3FA9B" w14:textId="77777777" w:rsidR="00B23807" w:rsidRDefault="00464024" w:rsidP="00094898">
      <w:pPr>
        <w:pStyle w:val="p1"/>
        <w:spacing w:before="0" w:beforeAutospacing="0" w:after="0" w:afterAutospacing="0"/>
        <w:ind w:left="360" w:firstLine="0"/>
        <w:rPr>
          <w:rFonts w:asciiTheme="minorHAnsi" w:hAnsiTheme="minorHAnsi"/>
          <w:sz w:val="24"/>
          <w:szCs w:val="24"/>
        </w:rPr>
      </w:pPr>
      <w:r>
        <w:rPr>
          <w:rFonts w:asciiTheme="minorHAnsi" w:hAnsiTheme="minorHAnsi"/>
          <w:sz w:val="24"/>
          <w:szCs w:val="24"/>
        </w:rPr>
        <w:t xml:space="preserve">In partial fulfillment of item 3 of </w:t>
      </w:r>
      <w:r w:rsidRPr="00464024">
        <w:rPr>
          <w:rFonts w:asciiTheme="minorHAnsi" w:hAnsiTheme="minorHAnsi"/>
          <w:sz w:val="24"/>
          <w:szCs w:val="24"/>
        </w:rPr>
        <w:t>the</w:t>
      </w:r>
      <w:r w:rsidRPr="00094898">
        <w:rPr>
          <w:rFonts w:asciiTheme="minorHAnsi" w:hAnsiTheme="minorHAnsi"/>
          <w:sz w:val="24"/>
          <w:szCs w:val="24"/>
        </w:rPr>
        <w:t xml:space="preserve"> November 17, 2016 Cha</w:t>
      </w:r>
      <w:r w:rsidRPr="00464024">
        <w:rPr>
          <w:rFonts w:asciiTheme="minorHAnsi" w:hAnsiTheme="minorHAnsi"/>
          <w:sz w:val="24"/>
          <w:szCs w:val="24"/>
        </w:rPr>
        <w:t>rge to the OTC’s Stationary and</w:t>
      </w:r>
      <w:r>
        <w:rPr>
          <w:rFonts w:asciiTheme="minorHAnsi" w:hAnsiTheme="minorHAnsi"/>
          <w:sz w:val="24"/>
          <w:szCs w:val="24"/>
        </w:rPr>
        <w:t xml:space="preserve"> </w:t>
      </w:r>
      <w:r w:rsidRPr="00094898">
        <w:rPr>
          <w:rFonts w:asciiTheme="minorHAnsi" w:hAnsiTheme="minorHAnsi"/>
          <w:sz w:val="24"/>
          <w:szCs w:val="24"/>
        </w:rPr>
        <w:t>Area Sources (SAS) Committee</w:t>
      </w:r>
      <w:r>
        <w:rPr>
          <w:rFonts w:asciiTheme="minorHAnsi" w:hAnsiTheme="minorHAnsi"/>
          <w:sz w:val="24"/>
          <w:szCs w:val="24"/>
        </w:rPr>
        <w:t>, the OTC Control Measures Workgroup has developed an update</w:t>
      </w:r>
      <w:r w:rsidR="00A80C47">
        <w:rPr>
          <w:rFonts w:asciiTheme="minorHAnsi" w:hAnsiTheme="minorHAnsi"/>
          <w:sz w:val="24"/>
          <w:szCs w:val="24"/>
        </w:rPr>
        <w:t>d</w:t>
      </w:r>
      <w:r>
        <w:rPr>
          <w:rFonts w:asciiTheme="minorHAnsi" w:hAnsiTheme="minorHAnsi"/>
          <w:sz w:val="24"/>
          <w:szCs w:val="24"/>
        </w:rPr>
        <w:t xml:space="preserve"> model rule that can be found in a sep</w:t>
      </w:r>
      <w:r w:rsidR="00A120A3">
        <w:rPr>
          <w:rFonts w:asciiTheme="minorHAnsi" w:hAnsiTheme="minorHAnsi"/>
          <w:sz w:val="24"/>
          <w:szCs w:val="24"/>
        </w:rPr>
        <w:t>arate document titled “</w:t>
      </w:r>
      <w:r w:rsidRPr="00094898">
        <w:rPr>
          <w:rFonts w:asciiTheme="minorHAnsi" w:hAnsiTheme="minorHAnsi" w:cs="Arial"/>
          <w:sz w:val="24"/>
          <w:szCs w:val="24"/>
        </w:rPr>
        <w:t xml:space="preserve">Proposed 2017 OTC </w:t>
      </w:r>
      <w:r w:rsidRPr="00094898">
        <w:rPr>
          <w:rFonts w:asciiTheme="minorHAnsi" w:hAnsiTheme="minorHAnsi" w:cs="Arial"/>
          <w:sz w:val="24"/>
          <w:szCs w:val="24"/>
        </w:rPr>
        <w:lastRenderedPageBreak/>
        <w:t>Model Rule for Control of NOx Emissions from Natural Gas Pipeline Compressor Fuel-Fired Prime Movers</w:t>
      </w:r>
      <w:r w:rsidR="00A120A3">
        <w:rPr>
          <w:rFonts w:asciiTheme="minorHAnsi" w:hAnsiTheme="minorHAnsi" w:cs="Arial"/>
          <w:sz w:val="24"/>
          <w:szCs w:val="24"/>
        </w:rPr>
        <w:t>”, August, 2017</w:t>
      </w:r>
      <w:r w:rsidR="004F1AD2">
        <w:rPr>
          <w:rFonts w:asciiTheme="minorHAnsi" w:hAnsiTheme="minorHAnsi" w:cs="Arial"/>
          <w:sz w:val="24"/>
          <w:szCs w:val="24"/>
        </w:rPr>
        <w:t>.</w:t>
      </w:r>
      <w:r>
        <w:rPr>
          <w:rFonts w:asciiTheme="minorHAnsi" w:hAnsiTheme="minorHAnsi"/>
          <w:sz w:val="24"/>
          <w:szCs w:val="24"/>
        </w:rPr>
        <w:t xml:space="preserve"> </w:t>
      </w:r>
    </w:p>
    <w:p w14:paraId="21D1C70E" w14:textId="77777777" w:rsidR="004F1AD2" w:rsidRDefault="004F1AD2" w:rsidP="004F1AD2">
      <w:pPr>
        <w:pStyle w:val="p2"/>
        <w:spacing w:before="0" w:beforeAutospacing="0" w:after="200" w:afterAutospacing="0"/>
        <w:ind w:left="360" w:firstLine="0"/>
        <w:rPr>
          <w:rFonts w:asciiTheme="minorHAnsi" w:hAnsiTheme="minorHAnsi"/>
          <w:sz w:val="24"/>
          <w:szCs w:val="24"/>
        </w:rPr>
      </w:pPr>
      <w:r>
        <w:rPr>
          <w:rFonts w:asciiTheme="minorHAnsi" w:hAnsiTheme="minorHAnsi"/>
          <w:sz w:val="24"/>
          <w:szCs w:val="24"/>
        </w:rPr>
        <w:t>Our recommendations for NOx limits for pipeline compressors are summarized in Table 1 and elaborated in the accompanying model rule.</w:t>
      </w:r>
    </w:p>
    <w:p w14:paraId="07CE2727" w14:textId="77777777" w:rsidR="004F1AD2" w:rsidRPr="004F1AD2" w:rsidRDefault="004F1AD2" w:rsidP="004F1AD2">
      <w:pPr>
        <w:pStyle w:val="Caption"/>
        <w:spacing w:after="60"/>
        <w:jc w:val="center"/>
        <w:rPr>
          <w:rFonts w:asciiTheme="minorHAnsi" w:hAnsiTheme="minorHAnsi" w:cs="Arial"/>
          <w:b/>
          <w:i w:val="0"/>
          <w:color w:val="000000" w:themeColor="text1"/>
          <w:sz w:val="22"/>
          <w:szCs w:val="22"/>
        </w:rPr>
      </w:pPr>
      <w:bookmarkStart w:id="32" w:name="_Toc491073910"/>
      <w:r>
        <w:rPr>
          <w:b/>
          <w:i w:val="0"/>
          <w:color w:val="000000" w:themeColor="text1"/>
          <w:sz w:val="22"/>
          <w:szCs w:val="22"/>
        </w:rPr>
        <w:t xml:space="preserve">Table </w:t>
      </w:r>
      <w:r w:rsidR="00190587" w:rsidRPr="004F1AD2">
        <w:rPr>
          <w:rFonts w:asciiTheme="minorHAnsi" w:hAnsiTheme="minorHAnsi"/>
          <w:b/>
          <w:i w:val="0"/>
          <w:color w:val="000000" w:themeColor="text1"/>
          <w:sz w:val="22"/>
          <w:szCs w:val="22"/>
        </w:rPr>
        <w:fldChar w:fldCharType="begin"/>
      </w:r>
      <w:r w:rsidRPr="004F1AD2">
        <w:rPr>
          <w:rFonts w:asciiTheme="minorHAnsi" w:hAnsiTheme="minorHAnsi"/>
          <w:b/>
          <w:i w:val="0"/>
          <w:color w:val="000000" w:themeColor="text1"/>
          <w:sz w:val="22"/>
          <w:szCs w:val="22"/>
        </w:rPr>
        <w:instrText xml:space="preserve"> SEQ Table \* ARABIC </w:instrText>
      </w:r>
      <w:r w:rsidR="00190587" w:rsidRPr="004F1AD2">
        <w:rPr>
          <w:rFonts w:asciiTheme="minorHAnsi" w:hAnsiTheme="minorHAnsi"/>
          <w:b/>
          <w:i w:val="0"/>
          <w:color w:val="000000" w:themeColor="text1"/>
          <w:sz w:val="22"/>
          <w:szCs w:val="22"/>
        </w:rPr>
        <w:fldChar w:fldCharType="separate"/>
      </w:r>
      <w:r w:rsidR="006F2830">
        <w:rPr>
          <w:rFonts w:asciiTheme="minorHAnsi" w:hAnsiTheme="minorHAnsi"/>
          <w:b/>
          <w:i w:val="0"/>
          <w:noProof/>
          <w:color w:val="000000" w:themeColor="text1"/>
          <w:sz w:val="22"/>
          <w:szCs w:val="22"/>
        </w:rPr>
        <w:t>1</w:t>
      </w:r>
      <w:r w:rsidR="00190587" w:rsidRPr="004F1AD2">
        <w:rPr>
          <w:rFonts w:asciiTheme="minorHAnsi" w:hAnsiTheme="minorHAnsi"/>
          <w:b/>
          <w:i w:val="0"/>
          <w:color w:val="000000" w:themeColor="text1"/>
          <w:sz w:val="22"/>
          <w:szCs w:val="22"/>
        </w:rPr>
        <w:fldChar w:fldCharType="end"/>
      </w:r>
      <w:r w:rsidRPr="004F1AD2">
        <w:rPr>
          <w:rFonts w:asciiTheme="minorHAnsi" w:hAnsiTheme="minorHAnsi"/>
          <w:b/>
          <w:i w:val="0"/>
          <w:color w:val="000000" w:themeColor="text1"/>
          <w:sz w:val="22"/>
          <w:szCs w:val="22"/>
        </w:rPr>
        <w:t xml:space="preserve"> </w:t>
      </w:r>
      <w:r w:rsidR="00F037D3">
        <w:rPr>
          <w:rFonts w:asciiTheme="minorHAnsi" w:hAnsiTheme="minorHAnsi"/>
          <w:b/>
          <w:i w:val="0"/>
          <w:color w:val="000000" w:themeColor="text1"/>
          <w:sz w:val="22"/>
          <w:szCs w:val="22"/>
        </w:rPr>
        <w:t xml:space="preserve"> </w:t>
      </w:r>
      <w:r w:rsidRPr="004F1AD2">
        <w:rPr>
          <w:rFonts w:asciiTheme="minorHAnsi" w:hAnsiTheme="minorHAnsi" w:cs="Arial"/>
          <w:b/>
          <w:i w:val="0"/>
          <w:color w:val="000000" w:themeColor="text1"/>
          <w:sz w:val="22"/>
          <w:szCs w:val="22"/>
        </w:rPr>
        <w:t xml:space="preserve">NOx Limits </w:t>
      </w:r>
      <w:r w:rsidRPr="004F1AD2">
        <w:rPr>
          <w:rFonts w:asciiTheme="minorHAnsi" w:hAnsiTheme="minorHAnsi"/>
          <w:b/>
          <w:i w:val="0"/>
          <w:color w:val="000000" w:themeColor="text1"/>
          <w:sz w:val="22"/>
          <w:szCs w:val="22"/>
        </w:rPr>
        <w:t>for Pipeline Compressors</w:t>
      </w:r>
      <w:bookmarkEnd w:id="32"/>
      <w:r w:rsidR="00190587" w:rsidRPr="004F1AD2">
        <w:rPr>
          <w:rFonts w:asciiTheme="minorHAnsi" w:hAnsiTheme="minorHAnsi"/>
          <w:b/>
          <w:i w:val="0"/>
          <w:color w:val="000000" w:themeColor="text1"/>
          <w:sz w:val="22"/>
          <w:szCs w:val="22"/>
        </w:rPr>
        <w:fldChar w:fldCharType="begin"/>
      </w:r>
      <w:r w:rsidRPr="004F1AD2">
        <w:rPr>
          <w:rFonts w:asciiTheme="minorHAnsi" w:hAnsiTheme="minorHAnsi"/>
        </w:rPr>
        <w:instrText xml:space="preserve"> XE "</w:instrText>
      </w:r>
      <w:r w:rsidRPr="004F1AD2">
        <w:rPr>
          <w:rFonts w:asciiTheme="minorHAnsi" w:hAnsiTheme="minorHAnsi"/>
          <w:b/>
          <w:i w:val="0"/>
          <w:color w:val="000000" w:themeColor="text1"/>
          <w:sz w:val="22"/>
          <w:szCs w:val="22"/>
        </w:rPr>
        <w:instrText xml:space="preserve">Table </w:instrText>
      </w:r>
      <w:r w:rsidRPr="004F1AD2">
        <w:rPr>
          <w:rFonts w:asciiTheme="minorHAnsi" w:hAnsiTheme="minorHAnsi"/>
          <w:b/>
          <w:i w:val="0"/>
          <w:noProof/>
          <w:color w:val="000000" w:themeColor="text1"/>
          <w:sz w:val="22"/>
          <w:szCs w:val="22"/>
        </w:rPr>
        <w:instrText>1</w:instrText>
      </w:r>
      <w:r w:rsidRPr="004F1AD2">
        <w:rPr>
          <w:rFonts w:asciiTheme="minorHAnsi" w:hAnsiTheme="minorHAnsi"/>
          <w:b/>
          <w:i w:val="0"/>
          <w:color w:val="000000" w:themeColor="text1"/>
          <w:sz w:val="22"/>
          <w:szCs w:val="22"/>
        </w:rPr>
        <w:instrText xml:space="preserve"> </w:instrText>
      </w:r>
      <w:r w:rsidR="00F037D3">
        <w:rPr>
          <w:rFonts w:asciiTheme="minorHAnsi" w:hAnsiTheme="minorHAnsi"/>
          <w:b/>
          <w:i w:val="0"/>
          <w:color w:val="000000" w:themeColor="text1"/>
          <w:sz w:val="22"/>
          <w:szCs w:val="22"/>
        </w:rPr>
        <w:instrText xml:space="preserve"> </w:instrText>
      </w:r>
      <w:r w:rsidRPr="004F1AD2">
        <w:rPr>
          <w:rFonts w:asciiTheme="minorHAnsi" w:hAnsiTheme="minorHAnsi" w:cs="Arial"/>
          <w:b/>
          <w:i w:val="0"/>
          <w:color w:val="000000" w:themeColor="text1"/>
          <w:sz w:val="22"/>
          <w:szCs w:val="22"/>
        </w:rPr>
        <w:instrText xml:space="preserve">NOx Limits </w:instrText>
      </w:r>
      <w:r w:rsidRPr="004F1AD2">
        <w:rPr>
          <w:rFonts w:asciiTheme="minorHAnsi" w:hAnsiTheme="minorHAnsi"/>
          <w:b/>
          <w:i w:val="0"/>
          <w:color w:val="000000" w:themeColor="text1"/>
          <w:sz w:val="22"/>
          <w:szCs w:val="22"/>
        </w:rPr>
        <w:instrText>for Pipeline Compressors</w:instrText>
      </w:r>
      <w:r w:rsidRPr="004F1AD2">
        <w:rPr>
          <w:rFonts w:asciiTheme="minorHAnsi" w:hAnsiTheme="minorHAnsi"/>
        </w:rPr>
        <w:instrText xml:space="preserve">" </w:instrText>
      </w:r>
      <w:r w:rsidR="00190587" w:rsidRPr="004F1AD2">
        <w:rPr>
          <w:rFonts w:asciiTheme="minorHAnsi" w:hAnsiTheme="minorHAnsi"/>
          <w:b/>
          <w:i w:val="0"/>
          <w:color w:val="000000" w:themeColor="text1"/>
          <w:sz w:val="22"/>
          <w:szCs w:val="22"/>
        </w:rPr>
        <w:fldChar w:fldCharType="end"/>
      </w:r>
    </w:p>
    <w:tbl>
      <w:tblPr>
        <w:tblW w:w="5490" w:type="dxa"/>
        <w:jc w:val="center"/>
        <w:tblLook w:val="04A0" w:firstRow="1" w:lastRow="0" w:firstColumn="1" w:lastColumn="0" w:noHBand="0" w:noVBand="1"/>
      </w:tblPr>
      <w:tblGrid>
        <w:gridCol w:w="2540"/>
        <w:gridCol w:w="2950"/>
      </w:tblGrid>
      <w:tr w:rsidR="003212D4" w:rsidRPr="004F1AD2" w14:paraId="1BB06632" w14:textId="77777777" w:rsidTr="00C74C8C">
        <w:trPr>
          <w:trHeight w:val="300"/>
          <w:jc w:val="center"/>
        </w:trPr>
        <w:tc>
          <w:tcPr>
            <w:tcW w:w="5490" w:type="dxa"/>
            <w:gridSpan w:val="2"/>
            <w:tcBorders>
              <w:top w:val="nil"/>
              <w:left w:val="nil"/>
              <w:bottom w:val="nil"/>
              <w:right w:val="nil"/>
            </w:tcBorders>
            <w:shd w:val="clear" w:color="auto" w:fill="auto"/>
            <w:noWrap/>
            <w:vAlign w:val="center"/>
            <w:hideMark/>
          </w:tcPr>
          <w:p w14:paraId="0AC0A617" w14:textId="77777777" w:rsidR="003212D4" w:rsidRPr="004F1AD2" w:rsidRDefault="003212D4" w:rsidP="004F1AD2">
            <w:pPr>
              <w:pStyle w:val="ListParagraph"/>
              <w:numPr>
                <w:ilvl w:val="0"/>
                <w:numId w:val="19"/>
              </w:numPr>
              <w:jc w:val="center"/>
              <w:rPr>
                <w:rFonts w:asciiTheme="minorHAnsi" w:eastAsia="Times New Roman" w:hAnsiTheme="minorHAnsi"/>
                <w:b/>
                <w:bCs/>
                <w:color w:val="000000"/>
                <w:sz w:val="22"/>
              </w:rPr>
            </w:pPr>
            <w:bookmarkStart w:id="33" w:name="_GoBack"/>
            <w:bookmarkEnd w:id="33"/>
            <w:r w:rsidRPr="004F1AD2">
              <w:rPr>
                <w:rFonts w:asciiTheme="minorHAnsi" w:eastAsia="Times New Roman" w:hAnsiTheme="minorHAnsi"/>
                <w:b/>
                <w:bCs/>
                <w:color w:val="000000"/>
                <w:sz w:val="22"/>
              </w:rPr>
              <w:t>Two-Stroke Lean Burn ICE</w:t>
            </w:r>
          </w:p>
        </w:tc>
      </w:tr>
      <w:tr w:rsidR="003212D4" w:rsidRPr="004F1AD2" w14:paraId="60C4756F" w14:textId="77777777" w:rsidTr="00C74C8C">
        <w:trPr>
          <w:trHeight w:val="600"/>
          <w:jc w:val="center"/>
        </w:trPr>
        <w:tc>
          <w:tcPr>
            <w:tcW w:w="25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4D5B96"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Nameplate Rating (HP)</w:t>
            </w:r>
          </w:p>
        </w:tc>
        <w:tc>
          <w:tcPr>
            <w:tcW w:w="2950" w:type="dxa"/>
            <w:tcBorders>
              <w:top w:val="single" w:sz="4" w:space="0" w:color="auto"/>
              <w:left w:val="nil"/>
              <w:bottom w:val="single" w:sz="4" w:space="0" w:color="auto"/>
              <w:right w:val="single" w:sz="4" w:space="0" w:color="auto"/>
            </w:tcBorders>
            <w:shd w:val="clear" w:color="auto" w:fill="E7E6E6" w:themeFill="background2"/>
            <w:vAlign w:val="center"/>
            <w:hideMark/>
          </w:tcPr>
          <w:p w14:paraId="07BF7804"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NOx Rate (g/BHP-</w:t>
            </w:r>
            <w:proofErr w:type="spellStart"/>
            <w:r w:rsidRPr="004F1AD2">
              <w:rPr>
                <w:rFonts w:asciiTheme="minorHAnsi" w:eastAsia="Times New Roman" w:hAnsiTheme="minorHAnsi"/>
                <w:color w:val="000000"/>
                <w:sz w:val="22"/>
              </w:rPr>
              <w:t>hr</w:t>
            </w:r>
            <w:proofErr w:type="spellEnd"/>
            <w:r w:rsidRPr="004F1AD2">
              <w:rPr>
                <w:rFonts w:asciiTheme="minorHAnsi" w:eastAsia="Times New Roman" w:hAnsiTheme="minorHAnsi"/>
                <w:color w:val="000000"/>
                <w:sz w:val="22"/>
              </w:rPr>
              <w:t>)</w:t>
            </w:r>
          </w:p>
          <w:p w14:paraId="576BE1DB" w14:textId="77777777" w:rsidR="00A120A3" w:rsidRPr="004F1AD2" w:rsidRDefault="00A120A3"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or (% Reduction)</w:t>
            </w:r>
          </w:p>
        </w:tc>
      </w:tr>
      <w:tr w:rsidR="003212D4" w:rsidRPr="004F1AD2" w14:paraId="3D8378F3"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BDA0C39"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200 - 499</w:t>
            </w:r>
          </w:p>
        </w:tc>
        <w:tc>
          <w:tcPr>
            <w:tcW w:w="2950" w:type="dxa"/>
            <w:tcBorders>
              <w:top w:val="nil"/>
              <w:left w:val="nil"/>
              <w:bottom w:val="single" w:sz="4" w:space="0" w:color="auto"/>
              <w:right w:val="single" w:sz="4" w:space="0" w:color="auto"/>
            </w:tcBorders>
            <w:shd w:val="clear" w:color="auto" w:fill="auto"/>
            <w:noWrap/>
            <w:vAlign w:val="center"/>
            <w:hideMark/>
          </w:tcPr>
          <w:p w14:paraId="2713CBF0" w14:textId="77777777" w:rsidR="003212D4" w:rsidRPr="004F1AD2" w:rsidRDefault="00A120A3"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2.0 (80%)</w:t>
            </w:r>
          </w:p>
        </w:tc>
      </w:tr>
      <w:tr w:rsidR="003212D4" w:rsidRPr="004F1AD2" w14:paraId="6439055C"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7C3D60B"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500 - 1999</w:t>
            </w:r>
          </w:p>
        </w:tc>
        <w:tc>
          <w:tcPr>
            <w:tcW w:w="2950" w:type="dxa"/>
            <w:tcBorders>
              <w:top w:val="nil"/>
              <w:left w:val="nil"/>
              <w:bottom w:val="single" w:sz="4" w:space="0" w:color="auto"/>
              <w:right w:val="single" w:sz="4" w:space="0" w:color="auto"/>
            </w:tcBorders>
            <w:shd w:val="clear" w:color="auto" w:fill="auto"/>
            <w:noWrap/>
            <w:vAlign w:val="center"/>
            <w:hideMark/>
          </w:tcPr>
          <w:p w14:paraId="2EF7670C" w14:textId="77777777" w:rsidR="003212D4" w:rsidRPr="004F1AD2" w:rsidRDefault="00A120A3"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1.5 (80%)</w:t>
            </w:r>
          </w:p>
        </w:tc>
      </w:tr>
      <w:tr w:rsidR="003212D4" w:rsidRPr="004F1AD2" w14:paraId="68A9E9A2"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A8F77A1"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≥2000</w:t>
            </w:r>
          </w:p>
        </w:tc>
        <w:tc>
          <w:tcPr>
            <w:tcW w:w="2950" w:type="dxa"/>
            <w:tcBorders>
              <w:top w:val="nil"/>
              <w:left w:val="nil"/>
              <w:bottom w:val="single" w:sz="4" w:space="0" w:color="auto"/>
              <w:right w:val="single" w:sz="4" w:space="0" w:color="auto"/>
            </w:tcBorders>
            <w:shd w:val="clear" w:color="auto" w:fill="auto"/>
            <w:noWrap/>
            <w:vAlign w:val="center"/>
            <w:hideMark/>
          </w:tcPr>
          <w:p w14:paraId="6CED5A31"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1.5</w:t>
            </w:r>
            <w:r w:rsidR="00A120A3" w:rsidRPr="004F1AD2">
              <w:rPr>
                <w:rFonts w:asciiTheme="minorHAnsi" w:eastAsia="Times New Roman" w:hAnsiTheme="minorHAnsi"/>
                <w:color w:val="000000"/>
                <w:sz w:val="22"/>
              </w:rPr>
              <w:t xml:space="preserve"> (90%)</w:t>
            </w:r>
          </w:p>
        </w:tc>
      </w:tr>
      <w:tr w:rsidR="003212D4" w:rsidRPr="004F1AD2" w14:paraId="61A247EA" w14:textId="77777777" w:rsidTr="00C74C8C">
        <w:trPr>
          <w:trHeight w:val="300"/>
          <w:jc w:val="center"/>
        </w:trPr>
        <w:tc>
          <w:tcPr>
            <w:tcW w:w="2540" w:type="dxa"/>
            <w:tcBorders>
              <w:top w:val="nil"/>
              <w:left w:val="nil"/>
              <w:bottom w:val="nil"/>
              <w:right w:val="nil"/>
            </w:tcBorders>
            <w:shd w:val="clear" w:color="auto" w:fill="auto"/>
            <w:noWrap/>
            <w:vAlign w:val="center"/>
            <w:hideMark/>
          </w:tcPr>
          <w:p w14:paraId="5974D1FA" w14:textId="77777777" w:rsidR="003212D4" w:rsidRPr="004F1AD2" w:rsidRDefault="003212D4" w:rsidP="00F13C33">
            <w:pPr>
              <w:jc w:val="center"/>
              <w:rPr>
                <w:rFonts w:asciiTheme="minorHAnsi" w:eastAsia="Times New Roman" w:hAnsiTheme="minorHAnsi"/>
                <w:color w:val="000000"/>
                <w:sz w:val="22"/>
              </w:rPr>
            </w:pPr>
          </w:p>
        </w:tc>
        <w:tc>
          <w:tcPr>
            <w:tcW w:w="2950" w:type="dxa"/>
            <w:tcBorders>
              <w:top w:val="nil"/>
              <w:left w:val="nil"/>
              <w:bottom w:val="nil"/>
              <w:right w:val="nil"/>
            </w:tcBorders>
            <w:shd w:val="clear" w:color="auto" w:fill="auto"/>
            <w:noWrap/>
            <w:vAlign w:val="center"/>
            <w:hideMark/>
          </w:tcPr>
          <w:p w14:paraId="71A853C3" w14:textId="77777777" w:rsidR="003212D4" w:rsidRPr="004F1AD2" w:rsidRDefault="003212D4" w:rsidP="00F13C33">
            <w:pPr>
              <w:jc w:val="center"/>
              <w:rPr>
                <w:rFonts w:asciiTheme="minorHAnsi" w:eastAsia="Times New Roman" w:hAnsiTheme="minorHAnsi"/>
                <w:sz w:val="22"/>
              </w:rPr>
            </w:pPr>
          </w:p>
        </w:tc>
      </w:tr>
      <w:tr w:rsidR="003212D4" w:rsidRPr="004F1AD2" w14:paraId="09E0C397" w14:textId="77777777" w:rsidTr="00C74C8C">
        <w:trPr>
          <w:trHeight w:val="300"/>
          <w:jc w:val="center"/>
        </w:trPr>
        <w:tc>
          <w:tcPr>
            <w:tcW w:w="5490" w:type="dxa"/>
            <w:gridSpan w:val="2"/>
            <w:tcBorders>
              <w:top w:val="nil"/>
              <w:left w:val="nil"/>
              <w:bottom w:val="nil"/>
              <w:right w:val="nil"/>
            </w:tcBorders>
            <w:shd w:val="clear" w:color="auto" w:fill="auto"/>
            <w:noWrap/>
            <w:vAlign w:val="center"/>
            <w:hideMark/>
          </w:tcPr>
          <w:p w14:paraId="29ADC163" w14:textId="77777777" w:rsidR="003212D4" w:rsidRPr="004F1AD2" w:rsidRDefault="003212D4" w:rsidP="004F1AD2">
            <w:pPr>
              <w:pStyle w:val="ListParagraph"/>
              <w:numPr>
                <w:ilvl w:val="0"/>
                <w:numId w:val="19"/>
              </w:numPr>
              <w:jc w:val="center"/>
              <w:rPr>
                <w:rFonts w:asciiTheme="minorHAnsi" w:eastAsia="Times New Roman" w:hAnsiTheme="minorHAnsi"/>
                <w:b/>
                <w:bCs/>
                <w:color w:val="000000"/>
                <w:sz w:val="22"/>
              </w:rPr>
            </w:pPr>
            <w:r w:rsidRPr="004F1AD2">
              <w:rPr>
                <w:rFonts w:asciiTheme="minorHAnsi" w:eastAsia="Times New Roman" w:hAnsiTheme="minorHAnsi"/>
                <w:b/>
                <w:bCs/>
                <w:color w:val="000000"/>
                <w:sz w:val="22"/>
              </w:rPr>
              <w:t>Four-Stroke Lean Burn ICE</w:t>
            </w:r>
          </w:p>
        </w:tc>
      </w:tr>
      <w:tr w:rsidR="003212D4" w:rsidRPr="004F1AD2" w14:paraId="44BAEA7E" w14:textId="77777777" w:rsidTr="00C74C8C">
        <w:trPr>
          <w:trHeight w:val="300"/>
          <w:jc w:val="center"/>
        </w:trPr>
        <w:tc>
          <w:tcPr>
            <w:tcW w:w="25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BC3C6B"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Nameplate Rating (HP)</w:t>
            </w:r>
          </w:p>
        </w:tc>
        <w:tc>
          <w:tcPr>
            <w:tcW w:w="2950" w:type="dxa"/>
            <w:tcBorders>
              <w:top w:val="single" w:sz="4" w:space="0" w:color="auto"/>
              <w:left w:val="nil"/>
              <w:bottom w:val="single" w:sz="4" w:space="0" w:color="auto"/>
              <w:right w:val="single" w:sz="4" w:space="0" w:color="auto"/>
            </w:tcBorders>
            <w:shd w:val="clear" w:color="auto" w:fill="E7E6E6" w:themeFill="background2"/>
            <w:vAlign w:val="center"/>
            <w:hideMark/>
          </w:tcPr>
          <w:p w14:paraId="66669010"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NOx Rate (g/BHP-</w:t>
            </w:r>
            <w:proofErr w:type="spellStart"/>
            <w:r w:rsidRPr="004F1AD2">
              <w:rPr>
                <w:rFonts w:asciiTheme="minorHAnsi" w:eastAsia="Times New Roman" w:hAnsiTheme="minorHAnsi"/>
                <w:color w:val="000000"/>
                <w:sz w:val="22"/>
              </w:rPr>
              <w:t>hr</w:t>
            </w:r>
            <w:proofErr w:type="spellEnd"/>
            <w:r w:rsidRPr="004F1AD2">
              <w:rPr>
                <w:rFonts w:asciiTheme="minorHAnsi" w:eastAsia="Times New Roman" w:hAnsiTheme="minorHAnsi"/>
                <w:color w:val="000000"/>
                <w:sz w:val="22"/>
              </w:rPr>
              <w:t>)</w:t>
            </w:r>
          </w:p>
          <w:p w14:paraId="07B1A2B0" w14:textId="77777777" w:rsidR="00A120A3" w:rsidRPr="004F1AD2" w:rsidRDefault="00A120A3"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or (%Reduction)</w:t>
            </w:r>
          </w:p>
        </w:tc>
      </w:tr>
      <w:tr w:rsidR="003212D4" w:rsidRPr="004F1AD2" w14:paraId="5D0C76C3"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1C2B239"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200 - 499</w:t>
            </w:r>
          </w:p>
        </w:tc>
        <w:tc>
          <w:tcPr>
            <w:tcW w:w="2950" w:type="dxa"/>
            <w:tcBorders>
              <w:top w:val="nil"/>
              <w:left w:val="nil"/>
              <w:bottom w:val="single" w:sz="4" w:space="0" w:color="auto"/>
              <w:right w:val="single" w:sz="4" w:space="0" w:color="auto"/>
            </w:tcBorders>
            <w:shd w:val="clear" w:color="auto" w:fill="auto"/>
            <w:noWrap/>
            <w:vAlign w:val="center"/>
            <w:hideMark/>
          </w:tcPr>
          <w:p w14:paraId="353C155E" w14:textId="77777777" w:rsidR="003212D4" w:rsidRPr="004F1AD2" w:rsidRDefault="00A120A3"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1.5 (90%)</w:t>
            </w:r>
          </w:p>
        </w:tc>
      </w:tr>
      <w:tr w:rsidR="003212D4" w:rsidRPr="004F1AD2" w14:paraId="52E31193"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234F8D9"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500 - 1999</w:t>
            </w:r>
          </w:p>
        </w:tc>
        <w:tc>
          <w:tcPr>
            <w:tcW w:w="2950" w:type="dxa"/>
            <w:tcBorders>
              <w:top w:val="nil"/>
              <w:left w:val="nil"/>
              <w:bottom w:val="single" w:sz="4" w:space="0" w:color="auto"/>
              <w:right w:val="single" w:sz="4" w:space="0" w:color="auto"/>
            </w:tcBorders>
            <w:shd w:val="clear" w:color="auto" w:fill="auto"/>
            <w:noWrap/>
            <w:vAlign w:val="center"/>
            <w:hideMark/>
          </w:tcPr>
          <w:p w14:paraId="053B66CA" w14:textId="77777777" w:rsidR="003212D4" w:rsidRPr="004F1AD2" w:rsidRDefault="00A120A3"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1.5 (90%)</w:t>
            </w:r>
          </w:p>
        </w:tc>
      </w:tr>
      <w:tr w:rsidR="003212D4" w:rsidRPr="004F1AD2" w14:paraId="20ED0AE5"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C260519"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≥2000</w:t>
            </w:r>
          </w:p>
        </w:tc>
        <w:tc>
          <w:tcPr>
            <w:tcW w:w="2950" w:type="dxa"/>
            <w:tcBorders>
              <w:top w:val="nil"/>
              <w:left w:val="nil"/>
              <w:bottom w:val="single" w:sz="4" w:space="0" w:color="auto"/>
              <w:right w:val="single" w:sz="4" w:space="0" w:color="auto"/>
            </w:tcBorders>
            <w:shd w:val="clear" w:color="auto" w:fill="auto"/>
            <w:noWrap/>
            <w:vAlign w:val="center"/>
            <w:hideMark/>
          </w:tcPr>
          <w:p w14:paraId="099E81FA"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1.5</w:t>
            </w:r>
            <w:r w:rsidR="00A120A3" w:rsidRPr="004F1AD2">
              <w:rPr>
                <w:rFonts w:asciiTheme="minorHAnsi" w:eastAsia="Times New Roman" w:hAnsiTheme="minorHAnsi"/>
                <w:color w:val="000000"/>
                <w:sz w:val="22"/>
              </w:rPr>
              <w:t xml:space="preserve"> (90%)</w:t>
            </w:r>
          </w:p>
        </w:tc>
      </w:tr>
      <w:tr w:rsidR="003212D4" w:rsidRPr="004F1AD2" w14:paraId="5A74C9D1" w14:textId="77777777" w:rsidTr="00C74C8C">
        <w:trPr>
          <w:trHeight w:val="300"/>
          <w:jc w:val="center"/>
        </w:trPr>
        <w:tc>
          <w:tcPr>
            <w:tcW w:w="2540" w:type="dxa"/>
            <w:tcBorders>
              <w:top w:val="nil"/>
              <w:left w:val="nil"/>
              <w:bottom w:val="nil"/>
              <w:right w:val="nil"/>
            </w:tcBorders>
            <w:shd w:val="clear" w:color="auto" w:fill="auto"/>
            <w:noWrap/>
            <w:vAlign w:val="center"/>
            <w:hideMark/>
          </w:tcPr>
          <w:p w14:paraId="40C7BA13" w14:textId="77777777" w:rsidR="003212D4" w:rsidRPr="004F1AD2" w:rsidRDefault="003212D4" w:rsidP="00F13C33">
            <w:pPr>
              <w:jc w:val="center"/>
              <w:rPr>
                <w:rFonts w:asciiTheme="minorHAnsi" w:eastAsia="Times New Roman" w:hAnsiTheme="minorHAnsi"/>
                <w:color w:val="000000"/>
                <w:sz w:val="22"/>
              </w:rPr>
            </w:pPr>
          </w:p>
        </w:tc>
        <w:tc>
          <w:tcPr>
            <w:tcW w:w="2950" w:type="dxa"/>
            <w:tcBorders>
              <w:top w:val="nil"/>
              <w:left w:val="nil"/>
              <w:bottom w:val="nil"/>
              <w:right w:val="nil"/>
            </w:tcBorders>
            <w:shd w:val="clear" w:color="auto" w:fill="auto"/>
            <w:noWrap/>
            <w:vAlign w:val="center"/>
            <w:hideMark/>
          </w:tcPr>
          <w:p w14:paraId="493A3E4C" w14:textId="77777777" w:rsidR="003212D4" w:rsidRPr="004F1AD2" w:rsidRDefault="003212D4" w:rsidP="00F13C33">
            <w:pPr>
              <w:jc w:val="center"/>
              <w:rPr>
                <w:rFonts w:asciiTheme="minorHAnsi" w:eastAsia="Times New Roman" w:hAnsiTheme="minorHAnsi"/>
                <w:sz w:val="22"/>
              </w:rPr>
            </w:pPr>
          </w:p>
        </w:tc>
      </w:tr>
      <w:tr w:rsidR="003212D4" w:rsidRPr="004F1AD2" w14:paraId="3EFC11E0" w14:textId="77777777" w:rsidTr="00C74C8C">
        <w:trPr>
          <w:trHeight w:val="300"/>
          <w:jc w:val="center"/>
        </w:trPr>
        <w:tc>
          <w:tcPr>
            <w:tcW w:w="5490" w:type="dxa"/>
            <w:gridSpan w:val="2"/>
            <w:tcBorders>
              <w:top w:val="nil"/>
              <w:left w:val="nil"/>
              <w:bottom w:val="nil"/>
              <w:right w:val="nil"/>
            </w:tcBorders>
            <w:shd w:val="clear" w:color="auto" w:fill="auto"/>
            <w:noWrap/>
            <w:vAlign w:val="center"/>
            <w:hideMark/>
          </w:tcPr>
          <w:p w14:paraId="4D6F3975" w14:textId="77777777" w:rsidR="003212D4" w:rsidRPr="004F1AD2" w:rsidRDefault="003212D4" w:rsidP="004F1AD2">
            <w:pPr>
              <w:pStyle w:val="ListParagraph"/>
              <w:numPr>
                <w:ilvl w:val="0"/>
                <w:numId w:val="19"/>
              </w:numPr>
              <w:jc w:val="center"/>
              <w:rPr>
                <w:rFonts w:asciiTheme="minorHAnsi" w:eastAsia="Times New Roman" w:hAnsiTheme="minorHAnsi"/>
                <w:b/>
                <w:bCs/>
                <w:color w:val="000000"/>
                <w:sz w:val="22"/>
              </w:rPr>
            </w:pPr>
            <w:r w:rsidRPr="004F1AD2">
              <w:rPr>
                <w:rFonts w:asciiTheme="minorHAnsi" w:eastAsia="Times New Roman" w:hAnsiTheme="minorHAnsi"/>
                <w:b/>
                <w:bCs/>
                <w:color w:val="000000"/>
                <w:sz w:val="22"/>
              </w:rPr>
              <w:t>Four-Stroke Rich Burn ICE</w:t>
            </w:r>
          </w:p>
        </w:tc>
      </w:tr>
      <w:tr w:rsidR="003212D4" w:rsidRPr="004F1AD2" w14:paraId="6CAA5B9A" w14:textId="77777777" w:rsidTr="00C74C8C">
        <w:trPr>
          <w:trHeight w:val="600"/>
          <w:jc w:val="center"/>
        </w:trPr>
        <w:tc>
          <w:tcPr>
            <w:tcW w:w="25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468614"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Nameplate Rating (HP)</w:t>
            </w:r>
          </w:p>
        </w:tc>
        <w:tc>
          <w:tcPr>
            <w:tcW w:w="2950" w:type="dxa"/>
            <w:tcBorders>
              <w:top w:val="single" w:sz="4" w:space="0" w:color="auto"/>
              <w:left w:val="nil"/>
              <w:bottom w:val="single" w:sz="4" w:space="0" w:color="auto"/>
              <w:right w:val="single" w:sz="4" w:space="0" w:color="auto"/>
            </w:tcBorders>
            <w:shd w:val="clear" w:color="auto" w:fill="E7E6E6" w:themeFill="background2"/>
            <w:vAlign w:val="center"/>
            <w:hideMark/>
          </w:tcPr>
          <w:p w14:paraId="1792A6F4"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NOx Rate (g/BHP-</w:t>
            </w:r>
            <w:proofErr w:type="spellStart"/>
            <w:r w:rsidRPr="004F1AD2">
              <w:rPr>
                <w:rFonts w:asciiTheme="minorHAnsi" w:eastAsia="Times New Roman" w:hAnsiTheme="minorHAnsi"/>
                <w:color w:val="000000"/>
                <w:sz w:val="22"/>
              </w:rPr>
              <w:t>hr</w:t>
            </w:r>
            <w:proofErr w:type="spellEnd"/>
            <w:r w:rsidRPr="004F1AD2">
              <w:rPr>
                <w:rFonts w:asciiTheme="minorHAnsi" w:eastAsia="Times New Roman" w:hAnsiTheme="minorHAnsi"/>
                <w:color w:val="000000"/>
                <w:sz w:val="22"/>
              </w:rPr>
              <w:t>)</w:t>
            </w:r>
          </w:p>
          <w:p w14:paraId="701B9184" w14:textId="77777777" w:rsidR="006528AF" w:rsidRPr="004F1AD2" w:rsidRDefault="006528AF"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or (%Reduction)</w:t>
            </w:r>
          </w:p>
        </w:tc>
      </w:tr>
      <w:tr w:rsidR="003212D4" w:rsidRPr="004F1AD2" w14:paraId="08E9A3E5"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E891D74"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200 - 499</w:t>
            </w:r>
          </w:p>
        </w:tc>
        <w:tc>
          <w:tcPr>
            <w:tcW w:w="2950" w:type="dxa"/>
            <w:tcBorders>
              <w:top w:val="nil"/>
              <w:left w:val="nil"/>
              <w:bottom w:val="single" w:sz="4" w:space="0" w:color="auto"/>
              <w:right w:val="single" w:sz="4" w:space="0" w:color="auto"/>
            </w:tcBorders>
            <w:shd w:val="clear" w:color="auto" w:fill="auto"/>
            <w:noWrap/>
            <w:vAlign w:val="center"/>
            <w:hideMark/>
          </w:tcPr>
          <w:p w14:paraId="4D3BC461" w14:textId="77777777" w:rsidR="003212D4" w:rsidRPr="004F1AD2" w:rsidRDefault="006528AF"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1.5 (90%)</w:t>
            </w:r>
          </w:p>
        </w:tc>
      </w:tr>
      <w:tr w:rsidR="003212D4" w:rsidRPr="004F1AD2" w14:paraId="2A3A61AA"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64135D4"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500 - 1999</w:t>
            </w:r>
          </w:p>
        </w:tc>
        <w:tc>
          <w:tcPr>
            <w:tcW w:w="2950" w:type="dxa"/>
            <w:tcBorders>
              <w:top w:val="nil"/>
              <w:left w:val="nil"/>
              <w:bottom w:val="single" w:sz="4" w:space="0" w:color="auto"/>
              <w:right w:val="single" w:sz="4" w:space="0" w:color="auto"/>
            </w:tcBorders>
            <w:shd w:val="clear" w:color="auto" w:fill="auto"/>
            <w:noWrap/>
            <w:vAlign w:val="center"/>
            <w:hideMark/>
          </w:tcPr>
          <w:p w14:paraId="0EBAAAE2"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1.5</w:t>
            </w:r>
            <w:r w:rsidR="006528AF" w:rsidRPr="004F1AD2">
              <w:rPr>
                <w:rFonts w:asciiTheme="minorHAnsi" w:eastAsia="Times New Roman" w:hAnsiTheme="minorHAnsi"/>
                <w:color w:val="000000"/>
                <w:sz w:val="22"/>
              </w:rPr>
              <w:t xml:space="preserve"> (90%)</w:t>
            </w:r>
          </w:p>
        </w:tc>
      </w:tr>
      <w:tr w:rsidR="003212D4" w:rsidRPr="004F1AD2" w14:paraId="79A3639C"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CC18E20"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≥2000</w:t>
            </w:r>
          </w:p>
        </w:tc>
        <w:tc>
          <w:tcPr>
            <w:tcW w:w="2950" w:type="dxa"/>
            <w:tcBorders>
              <w:top w:val="nil"/>
              <w:left w:val="nil"/>
              <w:bottom w:val="single" w:sz="4" w:space="0" w:color="auto"/>
              <w:right w:val="single" w:sz="4" w:space="0" w:color="auto"/>
            </w:tcBorders>
            <w:shd w:val="clear" w:color="auto" w:fill="auto"/>
            <w:noWrap/>
            <w:vAlign w:val="center"/>
            <w:hideMark/>
          </w:tcPr>
          <w:p w14:paraId="48763385"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1.0</w:t>
            </w:r>
            <w:r w:rsidR="006528AF" w:rsidRPr="004F1AD2">
              <w:rPr>
                <w:rFonts w:asciiTheme="minorHAnsi" w:eastAsia="Times New Roman" w:hAnsiTheme="minorHAnsi"/>
                <w:color w:val="000000"/>
                <w:sz w:val="22"/>
              </w:rPr>
              <w:t xml:space="preserve"> (90%)</w:t>
            </w:r>
          </w:p>
        </w:tc>
      </w:tr>
      <w:tr w:rsidR="003212D4" w:rsidRPr="004F1AD2" w14:paraId="6E916E9B" w14:textId="77777777" w:rsidTr="00C74C8C">
        <w:trPr>
          <w:trHeight w:val="300"/>
          <w:jc w:val="center"/>
        </w:trPr>
        <w:tc>
          <w:tcPr>
            <w:tcW w:w="2540" w:type="dxa"/>
            <w:tcBorders>
              <w:top w:val="nil"/>
              <w:left w:val="nil"/>
              <w:bottom w:val="nil"/>
              <w:right w:val="nil"/>
            </w:tcBorders>
            <w:shd w:val="clear" w:color="auto" w:fill="auto"/>
            <w:noWrap/>
            <w:vAlign w:val="center"/>
            <w:hideMark/>
          </w:tcPr>
          <w:p w14:paraId="0C313FE7" w14:textId="77777777" w:rsidR="003212D4" w:rsidRPr="004F1AD2" w:rsidRDefault="003212D4" w:rsidP="00F13C33">
            <w:pPr>
              <w:jc w:val="center"/>
              <w:rPr>
                <w:rFonts w:asciiTheme="minorHAnsi" w:eastAsia="Times New Roman" w:hAnsiTheme="minorHAnsi"/>
                <w:color w:val="000000"/>
                <w:sz w:val="22"/>
              </w:rPr>
            </w:pPr>
          </w:p>
        </w:tc>
        <w:tc>
          <w:tcPr>
            <w:tcW w:w="2950" w:type="dxa"/>
            <w:tcBorders>
              <w:top w:val="nil"/>
              <w:left w:val="nil"/>
              <w:bottom w:val="nil"/>
              <w:right w:val="nil"/>
            </w:tcBorders>
            <w:shd w:val="clear" w:color="auto" w:fill="auto"/>
            <w:noWrap/>
            <w:vAlign w:val="center"/>
            <w:hideMark/>
          </w:tcPr>
          <w:p w14:paraId="586D2781" w14:textId="77777777" w:rsidR="003212D4" w:rsidRPr="004F1AD2" w:rsidRDefault="003212D4" w:rsidP="00F13C33">
            <w:pPr>
              <w:jc w:val="center"/>
              <w:rPr>
                <w:rFonts w:asciiTheme="minorHAnsi" w:eastAsia="Times New Roman" w:hAnsiTheme="minorHAnsi"/>
                <w:sz w:val="22"/>
              </w:rPr>
            </w:pPr>
          </w:p>
        </w:tc>
      </w:tr>
      <w:tr w:rsidR="006528AF" w:rsidRPr="004F1AD2" w14:paraId="153746C6" w14:textId="77777777" w:rsidTr="00C74C8C">
        <w:trPr>
          <w:trHeight w:val="300"/>
          <w:jc w:val="center"/>
        </w:trPr>
        <w:tc>
          <w:tcPr>
            <w:tcW w:w="5490" w:type="dxa"/>
            <w:gridSpan w:val="2"/>
            <w:tcBorders>
              <w:top w:val="nil"/>
              <w:left w:val="nil"/>
              <w:bottom w:val="nil"/>
              <w:right w:val="nil"/>
            </w:tcBorders>
            <w:shd w:val="clear" w:color="auto" w:fill="auto"/>
            <w:noWrap/>
            <w:vAlign w:val="center"/>
            <w:hideMark/>
          </w:tcPr>
          <w:p w14:paraId="5C4D1BFB" w14:textId="77777777" w:rsidR="006528AF" w:rsidRPr="004F1AD2" w:rsidRDefault="006528AF" w:rsidP="004F1AD2">
            <w:pPr>
              <w:pStyle w:val="ListParagraph"/>
              <w:numPr>
                <w:ilvl w:val="0"/>
                <w:numId w:val="19"/>
              </w:numPr>
              <w:jc w:val="center"/>
              <w:rPr>
                <w:rFonts w:asciiTheme="minorHAnsi" w:eastAsia="Times New Roman" w:hAnsiTheme="minorHAnsi"/>
                <w:b/>
                <w:bCs/>
                <w:color w:val="000000"/>
                <w:sz w:val="22"/>
              </w:rPr>
            </w:pPr>
            <w:r w:rsidRPr="004F1AD2">
              <w:rPr>
                <w:rFonts w:asciiTheme="minorHAnsi" w:eastAsia="Times New Roman" w:hAnsiTheme="minorHAnsi"/>
                <w:b/>
                <w:bCs/>
                <w:color w:val="000000"/>
                <w:sz w:val="22"/>
              </w:rPr>
              <w:t>Combustion Turbines</w:t>
            </w:r>
            <w:r w:rsidR="00B368BA" w:rsidRPr="004F1AD2">
              <w:rPr>
                <w:rFonts w:asciiTheme="minorHAnsi" w:eastAsia="Times New Roman" w:hAnsiTheme="minorHAnsi"/>
                <w:b/>
                <w:bCs/>
                <w:color w:val="000000"/>
                <w:sz w:val="22"/>
              </w:rPr>
              <w:t>*</w:t>
            </w:r>
          </w:p>
        </w:tc>
      </w:tr>
      <w:tr w:rsidR="003212D4" w:rsidRPr="004F1AD2" w14:paraId="45A94D70" w14:textId="77777777" w:rsidTr="00C74C8C">
        <w:trPr>
          <w:trHeight w:val="750"/>
          <w:jc w:val="center"/>
        </w:trPr>
        <w:tc>
          <w:tcPr>
            <w:tcW w:w="25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4A2E490"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Nameplate Rating (HP)</w:t>
            </w:r>
          </w:p>
          <w:p w14:paraId="7827187D" w14:textId="77777777" w:rsidR="00B368BA" w:rsidRPr="004F1AD2" w:rsidRDefault="00B368BA"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(MW)</w:t>
            </w:r>
          </w:p>
        </w:tc>
        <w:tc>
          <w:tcPr>
            <w:tcW w:w="2950" w:type="dxa"/>
            <w:tcBorders>
              <w:top w:val="single" w:sz="4" w:space="0" w:color="auto"/>
              <w:left w:val="nil"/>
              <w:bottom w:val="single" w:sz="4" w:space="0" w:color="auto"/>
              <w:right w:val="single" w:sz="4" w:space="0" w:color="auto"/>
            </w:tcBorders>
            <w:shd w:val="clear" w:color="auto" w:fill="E7E6E6" w:themeFill="background2"/>
            <w:vAlign w:val="center"/>
            <w:hideMark/>
          </w:tcPr>
          <w:p w14:paraId="0EE36BC0"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NOx Rate (</w:t>
            </w:r>
            <w:proofErr w:type="spellStart"/>
            <w:r w:rsidRPr="004F1AD2">
              <w:rPr>
                <w:rFonts w:asciiTheme="minorHAnsi" w:eastAsia="Times New Roman" w:hAnsiTheme="minorHAnsi"/>
                <w:color w:val="000000"/>
                <w:sz w:val="22"/>
              </w:rPr>
              <w:t>ppmvd</w:t>
            </w:r>
            <w:proofErr w:type="spellEnd"/>
            <w:r w:rsidRPr="004F1AD2">
              <w:rPr>
                <w:rFonts w:asciiTheme="minorHAnsi" w:eastAsia="Times New Roman" w:hAnsiTheme="minorHAnsi"/>
                <w:color w:val="000000"/>
                <w:sz w:val="22"/>
              </w:rPr>
              <w:t xml:space="preserve"> @ 15% O</w:t>
            </w:r>
            <w:r w:rsidRPr="003063FD">
              <w:rPr>
                <w:rFonts w:asciiTheme="minorHAnsi" w:eastAsia="Times New Roman" w:hAnsiTheme="minorHAnsi"/>
                <w:color w:val="000000"/>
                <w:sz w:val="22"/>
                <w:vertAlign w:val="subscript"/>
              </w:rPr>
              <w:t>2</w:t>
            </w:r>
            <w:r w:rsidRPr="004F1AD2">
              <w:rPr>
                <w:rFonts w:asciiTheme="minorHAnsi" w:eastAsia="Times New Roman" w:hAnsiTheme="minorHAnsi"/>
                <w:color w:val="000000"/>
                <w:sz w:val="22"/>
              </w:rPr>
              <w:t>)</w:t>
            </w:r>
          </w:p>
        </w:tc>
      </w:tr>
      <w:tr w:rsidR="003212D4" w:rsidRPr="004F1AD2" w14:paraId="144A278A"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B0C8D5E" w14:textId="77777777" w:rsidR="003212D4" w:rsidRPr="004F1AD2" w:rsidRDefault="003212D4" w:rsidP="00A80C47">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≤2000</w:t>
            </w:r>
            <w:r w:rsidR="00B368BA" w:rsidRPr="004F1AD2">
              <w:rPr>
                <w:rFonts w:asciiTheme="minorHAnsi" w:eastAsia="Times New Roman" w:hAnsiTheme="minorHAnsi"/>
                <w:color w:val="000000"/>
                <w:sz w:val="22"/>
              </w:rPr>
              <w:t xml:space="preserve"> (</w:t>
            </w:r>
            <w:r w:rsidR="00A80C47">
              <w:rPr>
                <w:rFonts w:asciiTheme="minorHAnsi" w:eastAsia="Times New Roman" w:hAnsiTheme="minorHAnsi"/>
                <w:color w:val="000000"/>
                <w:sz w:val="22"/>
              </w:rPr>
              <w:t>1.5</w:t>
            </w:r>
            <w:r w:rsidR="00B368BA" w:rsidRPr="004F1AD2">
              <w:rPr>
                <w:rFonts w:asciiTheme="minorHAnsi" w:eastAsia="Times New Roman" w:hAnsiTheme="minorHAnsi"/>
                <w:color w:val="000000"/>
                <w:sz w:val="22"/>
              </w:rPr>
              <w:t>)</w:t>
            </w:r>
          </w:p>
        </w:tc>
        <w:tc>
          <w:tcPr>
            <w:tcW w:w="2950" w:type="dxa"/>
            <w:tcBorders>
              <w:top w:val="nil"/>
              <w:left w:val="nil"/>
              <w:bottom w:val="single" w:sz="4" w:space="0" w:color="auto"/>
              <w:right w:val="single" w:sz="4" w:space="0" w:color="auto"/>
            </w:tcBorders>
            <w:shd w:val="clear" w:color="auto" w:fill="auto"/>
            <w:noWrap/>
            <w:vAlign w:val="center"/>
            <w:hideMark/>
          </w:tcPr>
          <w:p w14:paraId="7B981427"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150.0</w:t>
            </w:r>
            <w:r w:rsidR="00B368BA" w:rsidRPr="004F1AD2">
              <w:rPr>
                <w:rFonts w:asciiTheme="minorHAnsi" w:eastAsia="Times New Roman" w:hAnsiTheme="minorHAnsi"/>
                <w:color w:val="000000"/>
                <w:sz w:val="22"/>
              </w:rPr>
              <w:t xml:space="preserve"> (6.0 </w:t>
            </w:r>
            <w:proofErr w:type="spellStart"/>
            <w:r w:rsidR="00B368BA" w:rsidRPr="004F1AD2">
              <w:rPr>
                <w:rFonts w:asciiTheme="minorHAnsi" w:eastAsia="Times New Roman" w:hAnsiTheme="minorHAnsi"/>
                <w:color w:val="000000"/>
                <w:sz w:val="22"/>
              </w:rPr>
              <w:t>lb</w:t>
            </w:r>
            <w:proofErr w:type="spellEnd"/>
            <w:r w:rsidR="00B368BA" w:rsidRPr="004F1AD2">
              <w:rPr>
                <w:rFonts w:asciiTheme="minorHAnsi" w:eastAsia="Times New Roman" w:hAnsiTheme="minorHAnsi"/>
                <w:color w:val="000000"/>
                <w:sz w:val="22"/>
              </w:rPr>
              <w:t>/MWh)</w:t>
            </w:r>
          </w:p>
        </w:tc>
      </w:tr>
      <w:tr w:rsidR="003212D4" w:rsidRPr="004F1AD2" w14:paraId="6381AFD1"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BDB86E9"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 xml:space="preserve">2000 </w:t>
            </w:r>
            <w:r w:rsidR="00B368BA" w:rsidRPr="004F1AD2">
              <w:rPr>
                <w:rFonts w:asciiTheme="minorHAnsi" w:eastAsia="Times New Roman" w:hAnsiTheme="minorHAnsi"/>
                <w:color w:val="000000"/>
                <w:sz w:val="22"/>
              </w:rPr>
              <w:t>–</w:t>
            </w:r>
            <w:r w:rsidRPr="004F1AD2">
              <w:rPr>
                <w:rFonts w:asciiTheme="minorHAnsi" w:eastAsia="Times New Roman" w:hAnsiTheme="minorHAnsi"/>
                <w:color w:val="000000"/>
                <w:sz w:val="22"/>
              </w:rPr>
              <w:t xml:space="preserve"> 4999</w:t>
            </w:r>
            <w:r w:rsidR="00B368BA" w:rsidRPr="004F1AD2">
              <w:rPr>
                <w:rFonts w:asciiTheme="minorHAnsi" w:eastAsia="Times New Roman" w:hAnsiTheme="minorHAnsi"/>
                <w:color w:val="000000"/>
                <w:sz w:val="22"/>
              </w:rPr>
              <w:t xml:space="preserve"> (</w:t>
            </w:r>
            <w:r w:rsidR="00A80C47">
              <w:rPr>
                <w:rFonts w:asciiTheme="minorHAnsi" w:eastAsia="Times New Roman" w:hAnsiTheme="minorHAnsi"/>
                <w:color w:val="000000"/>
                <w:sz w:val="22"/>
              </w:rPr>
              <w:t>1.5-3.7</w:t>
            </w:r>
            <w:r w:rsidR="00B368BA" w:rsidRPr="004F1AD2">
              <w:rPr>
                <w:rFonts w:asciiTheme="minorHAnsi" w:eastAsia="Times New Roman" w:hAnsiTheme="minorHAnsi"/>
                <w:color w:val="000000"/>
                <w:sz w:val="22"/>
              </w:rPr>
              <w:t>)</w:t>
            </w:r>
          </w:p>
        </w:tc>
        <w:tc>
          <w:tcPr>
            <w:tcW w:w="2950" w:type="dxa"/>
            <w:tcBorders>
              <w:top w:val="nil"/>
              <w:left w:val="nil"/>
              <w:bottom w:val="single" w:sz="4" w:space="0" w:color="auto"/>
              <w:right w:val="single" w:sz="4" w:space="0" w:color="auto"/>
            </w:tcBorders>
            <w:shd w:val="clear" w:color="auto" w:fill="auto"/>
            <w:noWrap/>
            <w:vAlign w:val="center"/>
            <w:hideMark/>
          </w:tcPr>
          <w:p w14:paraId="2FD3982C"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50.0</w:t>
            </w:r>
            <w:r w:rsidR="00B368BA" w:rsidRPr="004F1AD2">
              <w:rPr>
                <w:rFonts w:asciiTheme="minorHAnsi" w:eastAsia="Times New Roman" w:hAnsiTheme="minorHAnsi"/>
                <w:color w:val="000000"/>
                <w:sz w:val="22"/>
              </w:rPr>
              <w:t xml:space="preserve"> (2.0 </w:t>
            </w:r>
            <w:proofErr w:type="spellStart"/>
            <w:r w:rsidR="00B368BA" w:rsidRPr="004F1AD2">
              <w:rPr>
                <w:rFonts w:asciiTheme="minorHAnsi" w:eastAsia="Times New Roman" w:hAnsiTheme="minorHAnsi"/>
                <w:color w:val="000000"/>
                <w:sz w:val="22"/>
              </w:rPr>
              <w:t>lb</w:t>
            </w:r>
            <w:proofErr w:type="spellEnd"/>
            <w:r w:rsidR="00B368BA" w:rsidRPr="004F1AD2">
              <w:rPr>
                <w:rFonts w:asciiTheme="minorHAnsi" w:eastAsia="Times New Roman" w:hAnsiTheme="minorHAnsi"/>
                <w:color w:val="000000"/>
                <w:sz w:val="22"/>
              </w:rPr>
              <w:t>/MWh)</w:t>
            </w:r>
          </w:p>
        </w:tc>
      </w:tr>
      <w:tr w:rsidR="003212D4" w:rsidRPr="004F1AD2" w14:paraId="792474F1" w14:textId="77777777" w:rsidTr="00C74C8C">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142CAFB" w14:textId="77777777" w:rsidR="003212D4" w:rsidRPr="004F1AD2" w:rsidRDefault="003212D4" w:rsidP="00A80C47">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≥5000</w:t>
            </w:r>
            <w:r w:rsidR="00B368BA" w:rsidRPr="004F1AD2">
              <w:rPr>
                <w:rFonts w:asciiTheme="minorHAnsi" w:eastAsia="Times New Roman" w:hAnsiTheme="minorHAnsi"/>
                <w:color w:val="000000"/>
                <w:sz w:val="22"/>
              </w:rPr>
              <w:t xml:space="preserve"> (</w:t>
            </w:r>
            <w:r w:rsidR="00A80C47">
              <w:rPr>
                <w:rFonts w:asciiTheme="minorHAnsi" w:eastAsia="Times New Roman" w:hAnsiTheme="minorHAnsi"/>
                <w:color w:val="000000"/>
                <w:sz w:val="22"/>
              </w:rPr>
              <w:t>3.7</w:t>
            </w:r>
            <w:r w:rsidR="00B368BA" w:rsidRPr="004F1AD2">
              <w:rPr>
                <w:rFonts w:asciiTheme="minorHAnsi" w:eastAsia="Times New Roman" w:hAnsiTheme="minorHAnsi"/>
                <w:color w:val="000000"/>
                <w:sz w:val="22"/>
              </w:rPr>
              <w:t>)</w:t>
            </w:r>
          </w:p>
        </w:tc>
        <w:tc>
          <w:tcPr>
            <w:tcW w:w="2950" w:type="dxa"/>
            <w:tcBorders>
              <w:top w:val="nil"/>
              <w:left w:val="nil"/>
              <w:bottom w:val="single" w:sz="4" w:space="0" w:color="auto"/>
              <w:right w:val="single" w:sz="4" w:space="0" w:color="auto"/>
            </w:tcBorders>
            <w:shd w:val="clear" w:color="auto" w:fill="auto"/>
            <w:noWrap/>
            <w:vAlign w:val="center"/>
            <w:hideMark/>
          </w:tcPr>
          <w:p w14:paraId="7A71C1CB" w14:textId="77777777" w:rsidR="003212D4" w:rsidRPr="004F1AD2" w:rsidRDefault="003212D4" w:rsidP="00F13C33">
            <w:pPr>
              <w:jc w:val="center"/>
              <w:rPr>
                <w:rFonts w:asciiTheme="minorHAnsi" w:eastAsia="Times New Roman" w:hAnsiTheme="minorHAnsi"/>
                <w:color w:val="000000"/>
                <w:sz w:val="22"/>
              </w:rPr>
            </w:pPr>
            <w:r w:rsidRPr="004F1AD2">
              <w:rPr>
                <w:rFonts w:asciiTheme="minorHAnsi" w:eastAsia="Times New Roman" w:hAnsiTheme="minorHAnsi"/>
                <w:color w:val="000000"/>
                <w:sz w:val="22"/>
              </w:rPr>
              <w:t>25.0</w:t>
            </w:r>
            <w:r w:rsidR="00B368BA" w:rsidRPr="004F1AD2">
              <w:rPr>
                <w:rFonts w:asciiTheme="minorHAnsi" w:eastAsia="Times New Roman" w:hAnsiTheme="minorHAnsi"/>
                <w:color w:val="000000"/>
                <w:sz w:val="22"/>
              </w:rPr>
              <w:t xml:space="preserve"> (1.0 </w:t>
            </w:r>
            <w:proofErr w:type="spellStart"/>
            <w:r w:rsidR="00B368BA" w:rsidRPr="004F1AD2">
              <w:rPr>
                <w:rFonts w:asciiTheme="minorHAnsi" w:eastAsia="Times New Roman" w:hAnsiTheme="minorHAnsi"/>
                <w:color w:val="000000"/>
                <w:sz w:val="22"/>
              </w:rPr>
              <w:t>lb</w:t>
            </w:r>
            <w:proofErr w:type="spellEnd"/>
            <w:r w:rsidR="00B368BA" w:rsidRPr="004F1AD2">
              <w:rPr>
                <w:rFonts w:asciiTheme="minorHAnsi" w:eastAsia="Times New Roman" w:hAnsiTheme="minorHAnsi"/>
                <w:color w:val="000000"/>
                <w:sz w:val="22"/>
              </w:rPr>
              <w:t>/MWh)</w:t>
            </w:r>
          </w:p>
        </w:tc>
      </w:tr>
    </w:tbl>
    <w:p w14:paraId="06A73206" w14:textId="77777777" w:rsidR="00C74C8C" w:rsidRDefault="00C74C8C" w:rsidP="00C74C8C">
      <w:pPr>
        <w:spacing w:before="60" w:line="256" w:lineRule="auto"/>
        <w:jc w:val="center"/>
        <w:rPr>
          <w:rFonts w:cs="Arial"/>
          <w:sz w:val="20"/>
          <w:szCs w:val="20"/>
        </w:rPr>
      </w:pPr>
      <w:r>
        <w:rPr>
          <w:rFonts w:cs="Arial"/>
          <w:sz w:val="20"/>
          <w:szCs w:val="20"/>
        </w:rPr>
        <w:t>*Combustion Turbine NOx rates are from 40 CFR 60 Subpart KKKK Table 1</w:t>
      </w:r>
      <w:r>
        <w:rPr>
          <w:rStyle w:val="FootnoteReference"/>
          <w:rFonts w:cs="Arial"/>
          <w:sz w:val="20"/>
          <w:szCs w:val="20"/>
        </w:rPr>
        <w:footnoteReference w:id="16"/>
      </w:r>
      <w:r>
        <w:rPr>
          <w:rFonts w:cs="Arial"/>
          <w:sz w:val="20"/>
          <w:szCs w:val="20"/>
        </w:rPr>
        <w:t>.</w:t>
      </w:r>
    </w:p>
    <w:p w14:paraId="5736B604" w14:textId="77777777" w:rsidR="00421170" w:rsidRPr="00C74C8C" w:rsidRDefault="00B368BA" w:rsidP="00C74C8C">
      <w:pPr>
        <w:pStyle w:val="p2"/>
        <w:ind w:left="360" w:firstLine="0"/>
        <w:rPr>
          <w:u w:val="single"/>
        </w:rPr>
      </w:pPr>
      <w:r>
        <w:rPr>
          <w:rFonts w:asciiTheme="minorHAnsi" w:hAnsiTheme="minorHAnsi"/>
          <w:sz w:val="24"/>
          <w:szCs w:val="24"/>
        </w:rPr>
        <w:t xml:space="preserve">It is also assumed that new facilities must also comply with applicable Standards of Performance for New </w:t>
      </w:r>
      <w:r w:rsidR="008D0DC1">
        <w:rPr>
          <w:rFonts w:asciiTheme="minorHAnsi" w:hAnsiTheme="minorHAnsi"/>
          <w:sz w:val="24"/>
          <w:szCs w:val="24"/>
        </w:rPr>
        <w:t xml:space="preserve">Source Performance Standards </w:t>
      </w:r>
      <w:r>
        <w:rPr>
          <w:rFonts w:asciiTheme="minorHAnsi" w:hAnsiTheme="minorHAnsi"/>
          <w:sz w:val="24"/>
          <w:szCs w:val="24"/>
        </w:rPr>
        <w:t xml:space="preserve"> (NSPS) for reciprocating combustion </w:t>
      </w:r>
      <w:r>
        <w:rPr>
          <w:rFonts w:asciiTheme="minorHAnsi" w:hAnsiTheme="minorHAnsi"/>
          <w:sz w:val="24"/>
          <w:szCs w:val="24"/>
        </w:rPr>
        <w:lastRenderedPageBreak/>
        <w:t>engines (RICE), e.g., non-emergency RICE at major sources and that new and existing non-emergency RICE must also comply with</w:t>
      </w:r>
      <w:r w:rsidR="00AA66CE">
        <w:rPr>
          <w:rFonts w:asciiTheme="minorHAnsi" w:hAnsiTheme="minorHAnsi"/>
          <w:sz w:val="24"/>
          <w:szCs w:val="24"/>
        </w:rPr>
        <w:t xml:space="preserve"> applicable National Emission Standards for Hazardous Air Pollutants (NESHAPS).</w:t>
      </w:r>
      <w:r w:rsidR="00190A13" w:rsidRPr="00190A13">
        <w:rPr>
          <w:rFonts w:asciiTheme="minorHAnsi" w:hAnsiTheme="minorHAnsi"/>
          <w:sz w:val="24"/>
          <w:szCs w:val="24"/>
        </w:rPr>
        <w:t xml:space="preserve"> </w:t>
      </w:r>
      <w:r w:rsidR="00190A13">
        <w:rPr>
          <w:rFonts w:asciiTheme="minorHAnsi" w:hAnsiTheme="minorHAnsi"/>
          <w:sz w:val="24"/>
          <w:szCs w:val="24"/>
        </w:rPr>
        <w:t xml:space="preserve"> New combustion turbine compressor prime movers would also be required to meet applicable NSPS emission limitations.</w:t>
      </w:r>
    </w:p>
    <w:p w14:paraId="68F1AD3D" w14:textId="77777777" w:rsidR="009F1025" w:rsidRDefault="00C74C8C" w:rsidP="008B38B5">
      <w:pPr>
        <w:pStyle w:val="Heading3"/>
      </w:pPr>
      <w:bookmarkStart w:id="34" w:name="_Toc491349931"/>
      <w:r>
        <w:t>Opportunities for Further Emissions Reductions</w:t>
      </w:r>
      <w:bookmarkEnd w:id="34"/>
      <w:r>
        <w:t xml:space="preserve"> </w:t>
      </w:r>
    </w:p>
    <w:p w14:paraId="1A8FEBAF" w14:textId="77777777" w:rsidR="009F1025" w:rsidRPr="00A11BC9" w:rsidRDefault="00C74C8C" w:rsidP="00950B47">
      <w:pPr>
        <w:spacing w:after="60"/>
        <w:ind w:left="360"/>
        <w:rPr>
          <w:u w:val="single"/>
        </w:rPr>
      </w:pPr>
      <w:r>
        <w:rPr>
          <w:u w:val="single"/>
        </w:rPr>
        <w:t xml:space="preserve">Control of </w:t>
      </w:r>
      <w:r w:rsidR="00AA66CE">
        <w:rPr>
          <w:u w:val="single"/>
        </w:rPr>
        <w:t>Volatile Organic Compounds (</w:t>
      </w:r>
      <w:r w:rsidR="009F1025" w:rsidRPr="00A11BC9">
        <w:rPr>
          <w:u w:val="single"/>
        </w:rPr>
        <w:t>VOCs</w:t>
      </w:r>
      <w:r w:rsidR="00AA66CE">
        <w:rPr>
          <w:u w:val="single"/>
        </w:rPr>
        <w:t>)</w:t>
      </w:r>
      <w:r w:rsidR="009F1025" w:rsidRPr="00A11BC9">
        <w:rPr>
          <w:u w:val="single"/>
        </w:rPr>
        <w:t xml:space="preserve"> from the oil and gas sector compressor stations.</w:t>
      </w:r>
    </w:p>
    <w:p w14:paraId="1E5148FB" w14:textId="77777777" w:rsidR="003212D4" w:rsidRPr="00C74C8C" w:rsidRDefault="003212D4" w:rsidP="004568B5">
      <w:pPr>
        <w:pStyle w:val="ListParagraph"/>
        <w:numPr>
          <w:ilvl w:val="0"/>
          <w:numId w:val="20"/>
        </w:numPr>
        <w:spacing w:after="60"/>
        <w:contextualSpacing w:val="0"/>
        <w:rPr>
          <w:rFonts w:eastAsia="Times New Roman" w:cs="Arial"/>
        </w:rPr>
      </w:pPr>
      <w:r w:rsidRPr="00C74C8C">
        <w:rPr>
          <w:rFonts w:eastAsia="Times New Roman" w:cs="Arial"/>
        </w:rPr>
        <w:t>Gathering &amp; boosting compressor stations (SIC 1311) for gathering lines and transmission line compressor stations (SIC 4922) in some cases need additional equipment to filter and remove liquids from the gas stream.  Glycol dehydrators remove water, and Amine units remove CO</w:t>
      </w:r>
      <w:r w:rsidRPr="00C74C8C">
        <w:rPr>
          <w:rFonts w:eastAsia="Times New Roman" w:cs="Arial"/>
          <w:vertAlign w:val="subscript"/>
        </w:rPr>
        <w:t>2</w:t>
      </w:r>
      <w:r w:rsidRPr="00C74C8C">
        <w:rPr>
          <w:rFonts w:eastAsia="Times New Roman" w:cs="Arial"/>
        </w:rPr>
        <w:t xml:space="preserve"> and H</w:t>
      </w:r>
      <w:r w:rsidRPr="00C74C8C">
        <w:rPr>
          <w:rFonts w:eastAsia="Times New Roman" w:cs="Arial"/>
          <w:vertAlign w:val="subscript"/>
        </w:rPr>
        <w:t>2</w:t>
      </w:r>
      <w:r w:rsidRPr="00C74C8C">
        <w:rPr>
          <w:rFonts w:eastAsia="Times New Roman" w:cs="Arial"/>
        </w:rPr>
        <w:t>S, from the gas stream.</w:t>
      </w:r>
    </w:p>
    <w:p w14:paraId="2F6985B3" w14:textId="77777777" w:rsidR="00FA2C66" w:rsidRPr="00C74C8C" w:rsidRDefault="003212D4" w:rsidP="004568B5">
      <w:pPr>
        <w:pStyle w:val="ListParagraph"/>
        <w:numPr>
          <w:ilvl w:val="0"/>
          <w:numId w:val="20"/>
        </w:numPr>
        <w:spacing w:after="60"/>
        <w:contextualSpacing w:val="0"/>
        <w:rPr>
          <w:rFonts w:eastAsia="Times New Roman" w:cs="Arial"/>
        </w:rPr>
      </w:pPr>
      <w:r w:rsidRPr="00C74C8C">
        <w:rPr>
          <w:rFonts w:eastAsia="Times New Roman" w:cs="Arial"/>
        </w:rPr>
        <w:t xml:space="preserve">Midstream, gathering and boosting compressor stations receive gas from the surrounding gathering field.  The gas can enter the facility at various pressures depending on the gas gathering pipeline(s) pressure(s).  The gas is routed to separators (or slug catchers) to knockout heavier hydrocarbon liquids and water which are routed to either pressurized condensate stabilizers or to atmospheric storage tanks.  Those liquids can escape to the atmosphere. </w:t>
      </w:r>
      <w:r w:rsidR="00FA2C66" w:rsidRPr="00C74C8C">
        <w:rPr>
          <w:rFonts w:eastAsia="Times New Roman" w:cs="Arial"/>
        </w:rPr>
        <w:t xml:space="preserve">In addition, tanks on compressor station sites often leak VOCs into the atmosphere. </w:t>
      </w:r>
    </w:p>
    <w:p w14:paraId="7E3AE68F" w14:textId="77777777" w:rsidR="00FA2C66" w:rsidRPr="00C74C8C" w:rsidRDefault="00FA2C66" w:rsidP="004568B5">
      <w:pPr>
        <w:pStyle w:val="ListParagraph"/>
        <w:numPr>
          <w:ilvl w:val="0"/>
          <w:numId w:val="20"/>
        </w:numPr>
        <w:spacing w:after="200"/>
        <w:contextualSpacing w:val="0"/>
        <w:rPr>
          <w:rFonts w:eastAsia="Times New Roman" w:cs="Arial"/>
        </w:rPr>
      </w:pPr>
      <w:r w:rsidRPr="00C74C8C">
        <w:rPr>
          <w:rFonts w:eastAsia="Times New Roman" w:cs="Arial"/>
        </w:rPr>
        <w:t xml:space="preserve">Since VOCs are also ozone precursors, one potential area for future analysis could be the quantification and impact of VOC emissions </w:t>
      </w:r>
      <w:r w:rsidR="00335F43" w:rsidRPr="00C74C8C">
        <w:rPr>
          <w:rFonts w:eastAsia="Times New Roman" w:cs="Arial"/>
        </w:rPr>
        <w:t>from oil and gas sector compressor stations.</w:t>
      </w:r>
    </w:p>
    <w:p w14:paraId="34AC078B" w14:textId="77777777" w:rsidR="008D0DC1" w:rsidRDefault="008D0DC1" w:rsidP="009C352A">
      <w:pPr>
        <w:kinsoku w:val="0"/>
        <w:overflowPunct w:val="0"/>
        <w:autoSpaceDE w:val="0"/>
        <w:autoSpaceDN w:val="0"/>
        <w:adjustRightInd w:val="0"/>
        <w:spacing w:after="120"/>
        <w:ind w:left="360"/>
        <w:rPr>
          <w:rFonts w:cs="Calibri"/>
          <w:szCs w:val="24"/>
        </w:rPr>
      </w:pPr>
      <w:r w:rsidRPr="000A149C">
        <w:rPr>
          <w:rFonts w:cs="Calibri"/>
          <w:szCs w:val="24"/>
        </w:rPr>
        <w:t xml:space="preserve">The Workgroup suggests future work with maintenance requirements provided in NSPS </w:t>
      </w:r>
      <w:proofErr w:type="spellStart"/>
      <w:r w:rsidRPr="000A149C">
        <w:rPr>
          <w:rFonts w:cs="Calibri"/>
          <w:szCs w:val="24"/>
        </w:rPr>
        <w:t>OOOOa</w:t>
      </w:r>
      <w:proofErr w:type="spellEnd"/>
      <w:r w:rsidR="000A149C">
        <w:rPr>
          <w:rStyle w:val="FootnoteReference"/>
          <w:rFonts w:cs="Calibri"/>
          <w:szCs w:val="24"/>
        </w:rPr>
        <w:footnoteReference w:id="17"/>
      </w:r>
      <w:r w:rsidRPr="000A149C">
        <w:rPr>
          <w:rFonts w:cs="Calibri"/>
          <w:szCs w:val="24"/>
        </w:rPr>
        <w:t xml:space="preserve"> as a suggested control measure as defined below</w:t>
      </w:r>
      <w:r w:rsidR="004568B5">
        <w:rPr>
          <w:rFonts w:cs="Calibri"/>
          <w:szCs w:val="24"/>
        </w:rPr>
        <w:t xml:space="preserve"> to address the baseline VOC emissions from different compressor type shown in Table 2.</w:t>
      </w:r>
    </w:p>
    <w:p w14:paraId="46AA2242" w14:textId="77777777" w:rsidR="004568B5" w:rsidRDefault="004568B5" w:rsidP="004568B5">
      <w:pPr>
        <w:pStyle w:val="Caption"/>
        <w:spacing w:after="60" w:line="240" w:lineRule="auto"/>
        <w:jc w:val="center"/>
        <w:rPr>
          <w:b/>
          <w:i w:val="0"/>
          <w:color w:val="000000" w:themeColor="text1"/>
          <w:sz w:val="22"/>
          <w:szCs w:val="22"/>
        </w:rPr>
      </w:pPr>
    </w:p>
    <w:p w14:paraId="07F111C0" w14:textId="77777777" w:rsidR="004568B5" w:rsidRPr="006F2830" w:rsidRDefault="004568B5" w:rsidP="004568B5">
      <w:pPr>
        <w:pStyle w:val="Caption"/>
        <w:spacing w:after="60" w:line="240" w:lineRule="auto"/>
        <w:jc w:val="center"/>
        <w:rPr>
          <w:rFonts w:cs="Calibri"/>
          <w:b/>
          <w:i w:val="0"/>
          <w:color w:val="000000" w:themeColor="text1"/>
          <w:sz w:val="22"/>
          <w:szCs w:val="22"/>
        </w:rPr>
      </w:pPr>
      <w:bookmarkStart w:id="35" w:name="_Toc491073911"/>
      <w:r w:rsidRPr="006F2830">
        <w:rPr>
          <w:b/>
          <w:i w:val="0"/>
          <w:color w:val="000000" w:themeColor="text1"/>
          <w:sz w:val="22"/>
          <w:szCs w:val="22"/>
        </w:rPr>
        <w:t xml:space="preserve">Table </w:t>
      </w:r>
      <w:r w:rsidR="00190587" w:rsidRPr="006F2830">
        <w:rPr>
          <w:b/>
          <w:i w:val="0"/>
          <w:color w:val="000000" w:themeColor="text1"/>
          <w:sz w:val="22"/>
          <w:szCs w:val="22"/>
        </w:rPr>
        <w:fldChar w:fldCharType="begin"/>
      </w:r>
      <w:r w:rsidRPr="006F2830">
        <w:rPr>
          <w:b/>
          <w:i w:val="0"/>
          <w:color w:val="000000" w:themeColor="text1"/>
          <w:sz w:val="22"/>
          <w:szCs w:val="22"/>
        </w:rPr>
        <w:instrText xml:space="preserve"> SEQ Table \* ARABIC </w:instrText>
      </w:r>
      <w:r w:rsidR="00190587" w:rsidRPr="006F2830">
        <w:rPr>
          <w:b/>
          <w:i w:val="0"/>
          <w:color w:val="000000" w:themeColor="text1"/>
          <w:sz w:val="22"/>
          <w:szCs w:val="22"/>
        </w:rPr>
        <w:fldChar w:fldCharType="separate"/>
      </w:r>
      <w:r w:rsidRPr="006F2830">
        <w:rPr>
          <w:b/>
          <w:i w:val="0"/>
          <w:noProof/>
          <w:color w:val="000000" w:themeColor="text1"/>
          <w:sz w:val="22"/>
          <w:szCs w:val="22"/>
        </w:rPr>
        <w:t>2</w:t>
      </w:r>
      <w:r w:rsidR="00190587" w:rsidRPr="006F2830">
        <w:rPr>
          <w:b/>
          <w:i w:val="0"/>
          <w:color w:val="000000" w:themeColor="text1"/>
          <w:sz w:val="22"/>
          <w:szCs w:val="22"/>
        </w:rPr>
        <w:fldChar w:fldCharType="end"/>
      </w:r>
      <w:r w:rsidRPr="006F2830">
        <w:rPr>
          <w:b/>
          <w:i w:val="0"/>
          <w:color w:val="000000" w:themeColor="text1"/>
          <w:sz w:val="22"/>
          <w:szCs w:val="22"/>
        </w:rPr>
        <w:t xml:space="preserve">  </w:t>
      </w:r>
      <w:r w:rsidRPr="006F2830">
        <w:rPr>
          <w:rFonts w:cs="Calibri"/>
          <w:b/>
          <w:i w:val="0"/>
          <w:color w:val="000000" w:themeColor="text1"/>
          <w:sz w:val="22"/>
          <w:szCs w:val="22"/>
        </w:rPr>
        <w:t xml:space="preserve">Baseline VOC Emission Estimates for Reciprocating and Centrifugal </w:t>
      </w:r>
      <w:proofErr w:type="spellStart"/>
      <w:r w:rsidRPr="006F2830">
        <w:rPr>
          <w:rFonts w:cs="Calibri"/>
          <w:b/>
          <w:i w:val="0"/>
          <w:color w:val="000000" w:themeColor="text1"/>
          <w:sz w:val="22"/>
          <w:szCs w:val="22"/>
        </w:rPr>
        <w:t>Compressors</w:t>
      </w:r>
      <w:r w:rsidRPr="006F2830">
        <w:rPr>
          <w:rFonts w:cs="Calibri"/>
          <w:b/>
          <w:i w:val="0"/>
          <w:color w:val="000000" w:themeColor="text1"/>
          <w:sz w:val="22"/>
          <w:szCs w:val="22"/>
          <w:vertAlign w:val="superscript"/>
        </w:rPr>
        <w:t>a</w:t>
      </w:r>
      <w:proofErr w:type="spellEnd"/>
      <w:r w:rsidRPr="006F2830">
        <w:rPr>
          <w:rFonts w:cs="Calibri"/>
          <w:b/>
          <w:i w:val="0"/>
          <w:color w:val="000000" w:themeColor="text1"/>
          <w:sz w:val="22"/>
          <w:szCs w:val="22"/>
          <w:vertAlign w:val="superscript"/>
        </w:rPr>
        <w:t>,</w:t>
      </w:r>
      <w:r w:rsidRPr="006F2830">
        <w:rPr>
          <w:rStyle w:val="FootnoteReference"/>
          <w:rFonts w:cs="Calibri"/>
          <w:b/>
          <w:i w:val="0"/>
          <w:color w:val="000000" w:themeColor="text1"/>
          <w:sz w:val="22"/>
          <w:szCs w:val="22"/>
        </w:rPr>
        <w:footnoteReference w:id="18"/>
      </w:r>
      <w:bookmarkEnd w:id="35"/>
      <w:r w:rsidR="00190587" w:rsidRPr="006F2830">
        <w:rPr>
          <w:rFonts w:cs="Calibri"/>
          <w:b/>
          <w:i w:val="0"/>
          <w:color w:val="000000" w:themeColor="text1"/>
          <w:sz w:val="22"/>
          <w:szCs w:val="22"/>
          <w:vertAlign w:val="superscript"/>
        </w:rPr>
        <w:fldChar w:fldCharType="begin"/>
      </w:r>
      <w:r w:rsidRPr="006F2830">
        <w:rPr>
          <w:sz w:val="22"/>
          <w:szCs w:val="22"/>
        </w:rPr>
        <w:instrText xml:space="preserve"> XE "</w:instrText>
      </w:r>
      <w:r w:rsidRPr="006F2830">
        <w:rPr>
          <w:b/>
          <w:i w:val="0"/>
          <w:color w:val="000000" w:themeColor="text1"/>
          <w:sz w:val="22"/>
          <w:szCs w:val="22"/>
        </w:rPr>
        <w:instrText xml:space="preserve">Table </w:instrText>
      </w:r>
      <w:r w:rsidRPr="006F2830">
        <w:rPr>
          <w:b/>
          <w:i w:val="0"/>
          <w:noProof/>
          <w:color w:val="000000" w:themeColor="text1"/>
          <w:sz w:val="22"/>
          <w:szCs w:val="22"/>
        </w:rPr>
        <w:instrText>2</w:instrText>
      </w:r>
      <w:r w:rsidRPr="006F2830">
        <w:rPr>
          <w:b/>
          <w:i w:val="0"/>
          <w:color w:val="000000" w:themeColor="text1"/>
          <w:sz w:val="22"/>
          <w:szCs w:val="22"/>
        </w:rPr>
        <w:instrText xml:space="preserve">  </w:instrText>
      </w:r>
      <w:r w:rsidRPr="006F2830">
        <w:rPr>
          <w:rFonts w:cs="Calibri"/>
          <w:b/>
          <w:i w:val="0"/>
          <w:color w:val="000000" w:themeColor="text1"/>
          <w:sz w:val="22"/>
          <w:szCs w:val="22"/>
        </w:rPr>
        <w:instrText>Baseline VOC Emission Estimates for Reciprocating and Centrifugal Compressors</w:instrText>
      </w:r>
      <w:r w:rsidRPr="006F2830">
        <w:rPr>
          <w:rFonts w:cs="Calibri"/>
          <w:b/>
          <w:i w:val="0"/>
          <w:color w:val="000000" w:themeColor="text1"/>
          <w:sz w:val="22"/>
          <w:szCs w:val="22"/>
          <w:vertAlign w:val="superscript"/>
        </w:rPr>
        <w:instrText>a,</w:instrText>
      </w:r>
      <w:r w:rsidRPr="006F2830">
        <w:rPr>
          <w:sz w:val="22"/>
          <w:szCs w:val="22"/>
        </w:rPr>
        <w:instrText xml:space="preserve">" </w:instrText>
      </w:r>
      <w:r w:rsidR="00190587" w:rsidRPr="006F2830">
        <w:rPr>
          <w:rFonts w:cs="Calibri"/>
          <w:b/>
          <w:i w:val="0"/>
          <w:color w:val="000000" w:themeColor="text1"/>
          <w:sz w:val="22"/>
          <w:szCs w:val="22"/>
          <w:vertAlign w:val="superscript"/>
        </w:rPr>
        <w:fldChar w:fldCharType="end"/>
      </w:r>
    </w:p>
    <w:tbl>
      <w:tblPr>
        <w:tblW w:w="0" w:type="auto"/>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41"/>
        <w:gridCol w:w="2250"/>
      </w:tblGrid>
      <w:tr w:rsidR="004568B5" w:rsidRPr="000A149C" w14:paraId="3A9B9A42" w14:textId="77777777" w:rsidTr="000C55B5">
        <w:trPr>
          <w:trHeight w:hRule="exact" w:val="1000"/>
        </w:trPr>
        <w:tc>
          <w:tcPr>
            <w:tcW w:w="3841" w:type="dxa"/>
            <w:shd w:val="clear" w:color="auto" w:fill="D9D9D9"/>
            <w:vAlign w:val="center"/>
          </w:tcPr>
          <w:p w14:paraId="4642A913" w14:textId="77777777" w:rsidR="004568B5" w:rsidRPr="000A149C" w:rsidRDefault="004568B5" w:rsidP="000C55B5">
            <w:pPr>
              <w:kinsoku w:val="0"/>
              <w:overflowPunct w:val="0"/>
              <w:autoSpaceDE w:val="0"/>
              <w:autoSpaceDN w:val="0"/>
              <w:adjustRightInd w:val="0"/>
              <w:spacing w:line="240" w:lineRule="auto"/>
              <w:ind w:left="151" w:right="1"/>
              <w:rPr>
                <w:rFonts w:asciiTheme="minorHAnsi" w:hAnsiTheme="minorHAnsi" w:cs="Times New Roman"/>
                <w:sz w:val="22"/>
              </w:rPr>
            </w:pPr>
            <w:r w:rsidRPr="000A149C">
              <w:rPr>
                <w:rFonts w:asciiTheme="minorHAnsi" w:hAnsiTheme="minorHAnsi" w:cs="Times New Roman"/>
                <w:b/>
                <w:bCs/>
                <w:sz w:val="22"/>
              </w:rPr>
              <w:t>Industry Segment/Compressor Type</w:t>
            </w:r>
          </w:p>
        </w:tc>
        <w:tc>
          <w:tcPr>
            <w:tcW w:w="2250" w:type="dxa"/>
            <w:shd w:val="clear" w:color="auto" w:fill="D9D9D9"/>
            <w:vAlign w:val="center"/>
          </w:tcPr>
          <w:p w14:paraId="065D0BD5" w14:textId="77777777" w:rsidR="004568B5" w:rsidRPr="000A149C" w:rsidRDefault="004568B5" w:rsidP="000C55B5">
            <w:pPr>
              <w:kinsoku w:val="0"/>
              <w:overflowPunct w:val="0"/>
              <w:autoSpaceDE w:val="0"/>
              <w:autoSpaceDN w:val="0"/>
              <w:adjustRightInd w:val="0"/>
              <w:spacing w:line="240" w:lineRule="auto"/>
              <w:ind w:left="90" w:right="90"/>
              <w:jc w:val="center"/>
              <w:rPr>
                <w:rFonts w:asciiTheme="minorHAnsi" w:hAnsiTheme="minorHAnsi" w:cs="Times New Roman"/>
                <w:sz w:val="22"/>
              </w:rPr>
            </w:pPr>
            <w:r w:rsidRPr="000A149C">
              <w:rPr>
                <w:rFonts w:asciiTheme="minorHAnsi" w:hAnsiTheme="minorHAnsi" w:cs="Times New Roman"/>
                <w:b/>
                <w:bCs/>
                <w:sz w:val="22"/>
              </w:rPr>
              <w:t>Baseline VOC Emission Estimates (</w:t>
            </w:r>
            <w:proofErr w:type="spellStart"/>
            <w:r w:rsidRPr="000A149C">
              <w:rPr>
                <w:rFonts w:asciiTheme="minorHAnsi" w:hAnsiTheme="minorHAnsi" w:cs="Times New Roman"/>
                <w:b/>
                <w:bCs/>
                <w:sz w:val="22"/>
              </w:rPr>
              <w:t>tpy</w:t>
            </w:r>
            <w:proofErr w:type="spellEnd"/>
            <w:r w:rsidRPr="000A149C">
              <w:rPr>
                <w:rFonts w:asciiTheme="minorHAnsi" w:hAnsiTheme="minorHAnsi" w:cs="Times New Roman"/>
                <w:b/>
                <w:bCs/>
                <w:sz w:val="22"/>
              </w:rPr>
              <w:t>)</w:t>
            </w:r>
          </w:p>
        </w:tc>
      </w:tr>
      <w:tr w:rsidR="004568B5" w:rsidRPr="000A149C" w14:paraId="4FBC5F38" w14:textId="77777777" w:rsidTr="000C55B5">
        <w:trPr>
          <w:trHeight w:hRule="exact" w:val="422"/>
        </w:trPr>
        <w:tc>
          <w:tcPr>
            <w:tcW w:w="3841" w:type="dxa"/>
            <w:vAlign w:val="center"/>
          </w:tcPr>
          <w:p w14:paraId="7E79B26F" w14:textId="77777777" w:rsidR="004568B5" w:rsidRPr="000A149C" w:rsidRDefault="004568B5" w:rsidP="000C55B5">
            <w:pPr>
              <w:kinsoku w:val="0"/>
              <w:overflowPunct w:val="0"/>
              <w:autoSpaceDE w:val="0"/>
              <w:autoSpaceDN w:val="0"/>
              <w:adjustRightInd w:val="0"/>
              <w:spacing w:line="240" w:lineRule="auto"/>
              <w:ind w:left="151"/>
              <w:rPr>
                <w:rFonts w:asciiTheme="minorHAnsi" w:hAnsiTheme="minorHAnsi" w:cs="Times New Roman"/>
                <w:sz w:val="22"/>
              </w:rPr>
            </w:pPr>
            <w:r w:rsidRPr="000A149C">
              <w:rPr>
                <w:rFonts w:asciiTheme="minorHAnsi" w:hAnsiTheme="minorHAnsi" w:cs="Times New Roman"/>
                <w:b/>
                <w:bCs/>
                <w:sz w:val="22"/>
              </w:rPr>
              <w:t>Reciprocating Compressors</w:t>
            </w:r>
          </w:p>
        </w:tc>
        <w:tc>
          <w:tcPr>
            <w:tcW w:w="2250" w:type="dxa"/>
          </w:tcPr>
          <w:p w14:paraId="1DBF5213" w14:textId="77777777" w:rsidR="004568B5" w:rsidRPr="000A149C" w:rsidRDefault="004568B5" w:rsidP="000C55B5">
            <w:pPr>
              <w:kinsoku w:val="0"/>
              <w:overflowPunct w:val="0"/>
              <w:autoSpaceDE w:val="0"/>
              <w:autoSpaceDN w:val="0"/>
              <w:adjustRightInd w:val="0"/>
              <w:spacing w:line="240" w:lineRule="auto"/>
              <w:ind w:left="61"/>
              <w:jc w:val="center"/>
              <w:rPr>
                <w:rFonts w:asciiTheme="minorHAnsi" w:hAnsiTheme="minorHAnsi" w:cs="Times New Roman"/>
                <w:b/>
                <w:bCs/>
                <w:sz w:val="22"/>
              </w:rPr>
            </w:pPr>
          </w:p>
        </w:tc>
      </w:tr>
      <w:tr w:rsidR="004568B5" w:rsidRPr="000A149C" w14:paraId="4B76AB6C" w14:textId="77777777" w:rsidTr="000C55B5">
        <w:trPr>
          <w:trHeight w:hRule="exact" w:val="342"/>
        </w:trPr>
        <w:tc>
          <w:tcPr>
            <w:tcW w:w="3841" w:type="dxa"/>
            <w:vAlign w:val="center"/>
          </w:tcPr>
          <w:p w14:paraId="089DC9A7" w14:textId="77777777" w:rsidR="004568B5" w:rsidRPr="000A149C" w:rsidRDefault="004568B5" w:rsidP="000C55B5">
            <w:pPr>
              <w:kinsoku w:val="0"/>
              <w:overflowPunct w:val="0"/>
              <w:autoSpaceDE w:val="0"/>
              <w:autoSpaceDN w:val="0"/>
              <w:adjustRightInd w:val="0"/>
              <w:spacing w:line="240" w:lineRule="auto"/>
              <w:ind w:left="151"/>
              <w:rPr>
                <w:rFonts w:asciiTheme="minorHAnsi" w:hAnsiTheme="minorHAnsi" w:cs="Times New Roman"/>
                <w:sz w:val="22"/>
              </w:rPr>
            </w:pPr>
            <w:r w:rsidRPr="000A149C">
              <w:rPr>
                <w:rFonts w:asciiTheme="minorHAnsi" w:hAnsiTheme="minorHAnsi" w:cs="Times New Roman"/>
                <w:sz w:val="22"/>
              </w:rPr>
              <w:t>Gathering and Boosting Stations</w:t>
            </w:r>
          </w:p>
        </w:tc>
        <w:tc>
          <w:tcPr>
            <w:tcW w:w="2250" w:type="dxa"/>
            <w:vAlign w:val="center"/>
          </w:tcPr>
          <w:p w14:paraId="284DCB22" w14:textId="77777777" w:rsidR="004568B5" w:rsidRPr="000A149C" w:rsidRDefault="004568B5" w:rsidP="000C55B5">
            <w:pPr>
              <w:kinsoku w:val="0"/>
              <w:overflowPunct w:val="0"/>
              <w:autoSpaceDE w:val="0"/>
              <w:autoSpaceDN w:val="0"/>
              <w:adjustRightInd w:val="0"/>
              <w:spacing w:line="240" w:lineRule="auto"/>
              <w:ind w:left="180"/>
              <w:jc w:val="center"/>
              <w:rPr>
                <w:rFonts w:asciiTheme="minorHAnsi" w:hAnsiTheme="minorHAnsi" w:cs="Times New Roman"/>
                <w:sz w:val="22"/>
              </w:rPr>
            </w:pPr>
            <w:r w:rsidRPr="000A149C">
              <w:rPr>
                <w:rFonts w:asciiTheme="minorHAnsi" w:hAnsiTheme="minorHAnsi" w:cs="Times New Roman"/>
                <w:sz w:val="22"/>
              </w:rPr>
              <w:t>3.42</w:t>
            </w:r>
          </w:p>
        </w:tc>
      </w:tr>
      <w:tr w:rsidR="004568B5" w:rsidRPr="000A149C" w14:paraId="635BD9F1" w14:textId="77777777" w:rsidTr="000C55B5">
        <w:trPr>
          <w:trHeight w:hRule="exact" w:val="360"/>
        </w:trPr>
        <w:tc>
          <w:tcPr>
            <w:tcW w:w="3841" w:type="dxa"/>
            <w:vAlign w:val="center"/>
          </w:tcPr>
          <w:p w14:paraId="229B206F" w14:textId="77777777" w:rsidR="004568B5" w:rsidRPr="000A149C" w:rsidRDefault="004568B5" w:rsidP="000C55B5">
            <w:pPr>
              <w:kinsoku w:val="0"/>
              <w:overflowPunct w:val="0"/>
              <w:autoSpaceDE w:val="0"/>
              <w:autoSpaceDN w:val="0"/>
              <w:adjustRightInd w:val="0"/>
              <w:spacing w:line="240" w:lineRule="auto"/>
              <w:ind w:left="151"/>
              <w:rPr>
                <w:rFonts w:asciiTheme="minorHAnsi" w:hAnsiTheme="minorHAnsi" w:cs="Times New Roman"/>
                <w:sz w:val="22"/>
              </w:rPr>
            </w:pPr>
            <w:r w:rsidRPr="000A149C">
              <w:rPr>
                <w:rFonts w:asciiTheme="minorHAnsi" w:hAnsiTheme="minorHAnsi" w:cs="Times New Roman"/>
                <w:sz w:val="22"/>
              </w:rPr>
              <w:lastRenderedPageBreak/>
              <w:t>Processing</w:t>
            </w:r>
          </w:p>
        </w:tc>
        <w:tc>
          <w:tcPr>
            <w:tcW w:w="2250" w:type="dxa"/>
            <w:vAlign w:val="center"/>
          </w:tcPr>
          <w:p w14:paraId="3437FFC4" w14:textId="77777777" w:rsidR="004568B5" w:rsidRPr="000A149C" w:rsidRDefault="004568B5" w:rsidP="000C55B5">
            <w:pPr>
              <w:kinsoku w:val="0"/>
              <w:overflowPunct w:val="0"/>
              <w:autoSpaceDE w:val="0"/>
              <w:autoSpaceDN w:val="0"/>
              <w:adjustRightInd w:val="0"/>
              <w:spacing w:line="240" w:lineRule="auto"/>
              <w:ind w:left="180"/>
              <w:jc w:val="center"/>
              <w:rPr>
                <w:rFonts w:asciiTheme="minorHAnsi" w:hAnsiTheme="minorHAnsi" w:cs="Times New Roman"/>
                <w:sz w:val="22"/>
              </w:rPr>
            </w:pPr>
            <w:r w:rsidRPr="000A149C">
              <w:rPr>
                <w:rFonts w:asciiTheme="minorHAnsi" w:hAnsiTheme="minorHAnsi" w:cs="Times New Roman"/>
                <w:sz w:val="22"/>
              </w:rPr>
              <w:t>6.12</w:t>
            </w:r>
          </w:p>
        </w:tc>
      </w:tr>
      <w:tr w:rsidR="004568B5" w:rsidRPr="000A149C" w14:paraId="0F995A24" w14:textId="77777777" w:rsidTr="000C55B5">
        <w:trPr>
          <w:trHeight w:hRule="exact" w:val="288"/>
        </w:trPr>
        <w:tc>
          <w:tcPr>
            <w:tcW w:w="3841" w:type="dxa"/>
            <w:vAlign w:val="center"/>
          </w:tcPr>
          <w:p w14:paraId="55C4E74A" w14:textId="77777777" w:rsidR="004568B5" w:rsidRPr="000A149C" w:rsidRDefault="004568B5" w:rsidP="000C55B5">
            <w:pPr>
              <w:kinsoku w:val="0"/>
              <w:overflowPunct w:val="0"/>
              <w:autoSpaceDE w:val="0"/>
              <w:autoSpaceDN w:val="0"/>
              <w:adjustRightInd w:val="0"/>
              <w:spacing w:line="240" w:lineRule="auto"/>
              <w:ind w:left="151"/>
              <w:rPr>
                <w:rFonts w:asciiTheme="minorHAnsi" w:hAnsiTheme="minorHAnsi" w:cs="Times New Roman"/>
                <w:sz w:val="22"/>
              </w:rPr>
            </w:pPr>
            <w:r w:rsidRPr="000A149C">
              <w:rPr>
                <w:rFonts w:asciiTheme="minorHAnsi" w:hAnsiTheme="minorHAnsi" w:cs="Times New Roman"/>
                <w:b/>
                <w:bCs/>
                <w:sz w:val="22"/>
              </w:rPr>
              <w:t>Centrifugal Compressors (Wet seals)</w:t>
            </w:r>
          </w:p>
        </w:tc>
        <w:tc>
          <w:tcPr>
            <w:tcW w:w="2250" w:type="dxa"/>
          </w:tcPr>
          <w:p w14:paraId="7DE9DB92" w14:textId="77777777" w:rsidR="004568B5" w:rsidRPr="000A149C" w:rsidRDefault="004568B5" w:rsidP="000C55B5">
            <w:pPr>
              <w:kinsoku w:val="0"/>
              <w:overflowPunct w:val="0"/>
              <w:autoSpaceDE w:val="0"/>
              <w:autoSpaceDN w:val="0"/>
              <w:adjustRightInd w:val="0"/>
              <w:spacing w:line="240" w:lineRule="auto"/>
              <w:ind w:left="61"/>
              <w:jc w:val="center"/>
              <w:rPr>
                <w:rFonts w:asciiTheme="minorHAnsi" w:hAnsiTheme="minorHAnsi" w:cs="Times New Roman"/>
                <w:b/>
                <w:bCs/>
                <w:sz w:val="22"/>
              </w:rPr>
            </w:pPr>
          </w:p>
        </w:tc>
      </w:tr>
      <w:tr w:rsidR="004568B5" w:rsidRPr="000A149C" w14:paraId="220670FF" w14:textId="77777777" w:rsidTr="000C55B5">
        <w:trPr>
          <w:trHeight w:hRule="exact" w:val="360"/>
        </w:trPr>
        <w:tc>
          <w:tcPr>
            <w:tcW w:w="3841" w:type="dxa"/>
            <w:vAlign w:val="center"/>
          </w:tcPr>
          <w:p w14:paraId="0923D25A" w14:textId="77777777" w:rsidR="004568B5" w:rsidRPr="000A149C" w:rsidRDefault="004568B5" w:rsidP="000C55B5">
            <w:pPr>
              <w:kinsoku w:val="0"/>
              <w:overflowPunct w:val="0"/>
              <w:autoSpaceDE w:val="0"/>
              <w:autoSpaceDN w:val="0"/>
              <w:adjustRightInd w:val="0"/>
              <w:spacing w:line="240" w:lineRule="auto"/>
              <w:ind w:left="151"/>
              <w:rPr>
                <w:rFonts w:asciiTheme="minorHAnsi" w:hAnsiTheme="minorHAnsi" w:cs="Times New Roman"/>
                <w:sz w:val="22"/>
              </w:rPr>
            </w:pPr>
            <w:r w:rsidRPr="000A149C">
              <w:rPr>
                <w:rFonts w:asciiTheme="minorHAnsi" w:hAnsiTheme="minorHAnsi" w:cs="Times New Roman"/>
                <w:sz w:val="22"/>
              </w:rPr>
              <w:t>Processing</w:t>
            </w:r>
          </w:p>
        </w:tc>
        <w:tc>
          <w:tcPr>
            <w:tcW w:w="2250" w:type="dxa"/>
            <w:vAlign w:val="center"/>
          </w:tcPr>
          <w:p w14:paraId="3E496DCF" w14:textId="77777777" w:rsidR="004568B5" w:rsidRPr="000A149C" w:rsidRDefault="004568B5" w:rsidP="000C55B5">
            <w:pPr>
              <w:kinsoku w:val="0"/>
              <w:overflowPunct w:val="0"/>
              <w:autoSpaceDE w:val="0"/>
              <w:autoSpaceDN w:val="0"/>
              <w:adjustRightInd w:val="0"/>
              <w:spacing w:line="240" w:lineRule="auto"/>
              <w:ind w:left="180"/>
              <w:jc w:val="center"/>
              <w:rPr>
                <w:rFonts w:asciiTheme="minorHAnsi" w:hAnsiTheme="minorHAnsi" w:cs="Times New Roman"/>
                <w:sz w:val="22"/>
              </w:rPr>
            </w:pPr>
            <w:r w:rsidRPr="000A149C">
              <w:rPr>
                <w:rFonts w:asciiTheme="minorHAnsi" w:hAnsiTheme="minorHAnsi" w:cs="Times New Roman"/>
                <w:sz w:val="22"/>
              </w:rPr>
              <w:t>19.1</w:t>
            </w:r>
          </w:p>
        </w:tc>
      </w:tr>
      <w:tr w:rsidR="004568B5" w:rsidRPr="000A149C" w14:paraId="404DF0D0" w14:textId="77777777" w:rsidTr="000C55B5">
        <w:trPr>
          <w:trHeight w:hRule="exact" w:val="360"/>
        </w:trPr>
        <w:tc>
          <w:tcPr>
            <w:tcW w:w="3841" w:type="dxa"/>
            <w:vAlign w:val="center"/>
          </w:tcPr>
          <w:p w14:paraId="6C29B575" w14:textId="77777777" w:rsidR="004568B5" w:rsidRPr="000A149C" w:rsidRDefault="004568B5" w:rsidP="000C55B5">
            <w:pPr>
              <w:kinsoku w:val="0"/>
              <w:overflowPunct w:val="0"/>
              <w:autoSpaceDE w:val="0"/>
              <w:autoSpaceDN w:val="0"/>
              <w:adjustRightInd w:val="0"/>
              <w:spacing w:line="240" w:lineRule="auto"/>
              <w:ind w:left="151"/>
              <w:rPr>
                <w:rFonts w:asciiTheme="minorHAnsi" w:hAnsiTheme="minorHAnsi" w:cs="Times New Roman"/>
                <w:sz w:val="22"/>
              </w:rPr>
            </w:pPr>
            <w:r w:rsidRPr="000A149C">
              <w:rPr>
                <w:rFonts w:asciiTheme="minorHAnsi" w:hAnsiTheme="minorHAnsi" w:cs="Times New Roman"/>
                <w:b/>
                <w:bCs/>
                <w:sz w:val="22"/>
              </w:rPr>
              <w:t>Centrifugal Compressors (Dry seals)</w:t>
            </w:r>
          </w:p>
        </w:tc>
        <w:tc>
          <w:tcPr>
            <w:tcW w:w="2250" w:type="dxa"/>
          </w:tcPr>
          <w:p w14:paraId="17234D02" w14:textId="77777777" w:rsidR="004568B5" w:rsidRPr="000A149C" w:rsidRDefault="004568B5" w:rsidP="000C55B5">
            <w:pPr>
              <w:kinsoku w:val="0"/>
              <w:overflowPunct w:val="0"/>
              <w:autoSpaceDE w:val="0"/>
              <w:autoSpaceDN w:val="0"/>
              <w:adjustRightInd w:val="0"/>
              <w:spacing w:line="240" w:lineRule="auto"/>
              <w:ind w:left="61"/>
              <w:jc w:val="center"/>
              <w:rPr>
                <w:rFonts w:asciiTheme="minorHAnsi" w:hAnsiTheme="minorHAnsi" w:cs="Times New Roman"/>
                <w:b/>
                <w:bCs/>
                <w:sz w:val="22"/>
              </w:rPr>
            </w:pPr>
          </w:p>
        </w:tc>
      </w:tr>
      <w:tr w:rsidR="004568B5" w:rsidRPr="000A149C" w14:paraId="66DCA2E7" w14:textId="77777777" w:rsidTr="000C55B5">
        <w:trPr>
          <w:trHeight w:hRule="exact" w:val="361"/>
        </w:trPr>
        <w:tc>
          <w:tcPr>
            <w:tcW w:w="3841" w:type="dxa"/>
            <w:vAlign w:val="center"/>
          </w:tcPr>
          <w:p w14:paraId="091C200D" w14:textId="77777777" w:rsidR="004568B5" w:rsidRPr="000A149C" w:rsidRDefault="004568B5" w:rsidP="000C55B5">
            <w:pPr>
              <w:kinsoku w:val="0"/>
              <w:overflowPunct w:val="0"/>
              <w:autoSpaceDE w:val="0"/>
              <w:autoSpaceDN w:val="0"/>
              <w:adjustRightInd w:val="0"/>
              <w:spacing w:line="240" w:lineRule="auto"/>
              <w:ind w:left="151"/>
              <w:rPr>
                <w:rFonts w:asciiTheme="minorHAnsi" w:hAnsiTheme="minorHAnsi" w:cs="Times New Roman"/>
                <w:sz w:val="22"/>
              </w:rPr>
            </w:pPr>
            <w:r w:rsidRPr="000A149C">
              <w:rPr>
                <w:rFonts w:asciiTheme="minorHAnsi" w:hAnsiTheme="minorHAnsi" w:cs="Times New Roman"/>
                <w:sz w:val="22"/>
              </w:rPr>
              <w:t>Processing</w:t>
            </w:r>
          </w:p>
        </w:tc>
        <w:tc>
          <w:tcPr>
            <w:tcW w:w="2250" w:type="dxa"/>
            <w:vAlign w:val="center"/>
          </w:tcPr>
          <w:p w14:paraId="170646F3" w14:textId="77777777" w:rsidR="004568B5" w:rsidRPr="000A149C" w:rsidRDefault="004568B5" w:rsidP="000C55B5">
            <w:pPr>
              <w:kinsoku w:val="0"/>
              <w:overflowPunct w:val="0"/>
              <w:autoSpaceDE w:val="0"/>
              <w:autoSpaceDN w:val="0"/>
              <w:adjustRightInd w:val="0"/>
              <w:spacing w:line="240" w:lineRule="auto"/>
              <w:ind w:left="180"/>
              <w:jc w:val="center"/>
              <w:rPr>
                <w:rFonts w:asciiTheme="minorHAnsi" w:hAnsiTheme="minorHAnsi" w:cs="Times New Roman"/>
                <w:sz w:val="22"/>
              </w:rPr>
            </w:pPr>
            <w:r w:rsidRPr="000A149C">
              <w:rPr>
                <w:rFonts w:asciiTheme="minorHAnsi" w:hAnsiTheme="minorHAnsi" w:cs="Times New Roman"/>
                <w:sz w:val="22"/>
              </w:rPr>
              <w:t>2.4</w:t>
            </w:r>
          </w:p>
        </w:tc>
      </w:tr>
    </w:tbl>
    <w:p w14:paraId="396274D3" w14:textId="77777777" w:rsidR="004568B5" w:rsidRDefault="004568B5" w:rsidP="004568B5">
      <w:pPr>
        <w:kinsoku w:val="0"/>
        <w:overflowPunct w:val="0"/>
        <w:autoSpaceDE w:val="0"/>
        <w:autoSpaceDN w:val="0"/>
        <w:adjustRightInd w:val="0"/>
        <w:spacing w:before="60" w:line="240" w:lineRule="auto"/>
        <w:ind w:left="504"/>
        <w:rPr>
          <w:rFonts w:asciiTheme="minorHAnsi" w:hAnsiTheme="minorHAnsi" w:cs="Times New Roman"/>
          <w:sz w:val="22"/>
        </w:rPr>
      </w:pPr>
      <w:proofErr w:type="spellStart"/>
      <w:proofErr w:type="gramStart"/>
      <w:r w:rsidRPr="009C352A">
        <w:rPr>
          <w:rFonts w:asciiTheme="minorHAnsi" w:hAnsiTheme="minorHAnsi" w:cs="Times New Roman"/>
          <w:sz w:val="22"/>
          <w:vertAlign w:val="superscript"/>
        </w:rPr>
        <w:t>a</w:t>
      </w:r>
      <w:proofErr w:type="spellEnd"/>
      <w:proofErr w:type="gramEnd"/>
      <w:r w:rsidRPr="000A149C">
        <w:rPr>
          <w:rFonts w:asciiTheme="minorHAnsi" w:hAnsiTheme="minorHAnsi" w:cs="Times New Roman"/>
          <w:sz w:val="22"/>
        </w:rPr>
        <w:t xml:space="preserve"> For centrifugal compressors, it was assumed that 75% of the natural gas that is compressed is pipeline quality gas and 25% of the natural gas is production quality.</w:t>
      </w:r>
    </w:p>
    <w:p w14:paraId="112894A1" w14:textId="77777777" w:rsidR="008D0DC1" w:rsidRPr="000A149C" w:rsidRDefault="004568B5" w:rsidP="004568B5">
      <w:pPr>
        <w:kinsoku w:val="0"/>
        <w:overflowPunct w:val="0"/>
        <w:autoSpaceDE w:val="0"/>
        <w:autoSpaceDN w:val="0"/>
        <w:adjustRightInd w:val="0"/>
        <w:spacing w:before="200" w:after="60"/>
        <w:ind w:left="360" w:right="806"/>
        <w:rPr>
          <w:rFonts w:cs="Calibri"/>
          <w:szCs w:val="24"/>
        </w:rPr>
      </w:pPr>
      <w:r>
        <w:rPr>
          <w:rFonts w:cs="Calibri"/>
          <w:b/>
          <w:bCs/>
          <w:i/>
          <w:iCs/>
          <w:szCs w:val="24"/>
        </w:rPr>
        <w:t>“</w:t>
      </w:r>
      <w:r w:rsidR="008D0DC1" w:rsidRPr="000A149C">
        <w:rPr>
          <w:rFonts w:cs="Calibri"/>
          <w:b/>
          <w:bCs/>
          <w:i/>
          <w:iCs/>
          <w:szCs w:val="24"/>
        </w:rPr>
        <w:t xml:space="preserve">Centrifugal compressors </w:t>
      </w:r>
      <w:r w:rsidR="008D0DC1" w:rsidRPr="000A149C">
        <w:rPr>
          <w:rFonts w:cs="Calibri"/>
          <w:i/>
          <w:iCs/>
          <w:szCs w:val="24"/>
        </w:rPr>
        <w:t xml:space="preserve">- </w:t>
      </w:r>
      <w:r w:rsidR="008D0DC1" w:rsidRPr="000A149C">
        <w:rPr>
          <w:rFonts w:cs="Calibri"/>
          <w:szCs w:val="24"/>
        </w:rPr>
        <w:t>Centrifugal compressors are equipped with either wet seal systems, or dry seal systems.</w:t>
      </w:r>
    </w:p>
    <w:p w14:paraId="5CDA8D06" w14:textId="77777777" w:rsidR="008D0DC1" w:rsidRPr="000A149C" w:rsidRDefault="008D0DC1" w:rsidP="004568B5">
      <w:pPr>
        <w:numPr>
          <w:ilvl w:val="1"/>
          <w:numId w:val="23"/>
        </w:numPr>
        <w:kinsoku w:val="0"/>
        <w:overflowPunct w:val="0"/>
        <w:autoSpaceDE w:val="0"/>
        <w:autoSpaceDN w:val="0"/>
        <w:adjustRightInd w:val="0"/>
        <w:ind w:left="1080" w:right="321"/>
        <w:rPr>
          <w:rFonts w:cs="Calibri"/>
          <w:szCs w:val="24"/>
        </w:rPr>
      </w:pPr>
      <w:r w:rsidRPr="000A149C">
        <w:rPr>
          <w:rFonts w:cs="Calibri"/>
          <w:szCs w:val="24"/>
        </w:rPr>
        <w:t>Compressors with wet seals use oil as a barrier to keep gas from escaping. The gas that becomes absorbed in the oil is continuously vented, along with the methane,</w:t>
      </w:r>
      <w:r w:rsidRPr="000A149C">
        <w:rPr>
          <w:rFonts w:cs="Calibri"/>
          <w:w w:val="99"/>
          <w:szCs w:val="24"/>
        </w:rPr>
        <w:t xml:space="preserve"> </w:t>
      </w:r>
      <w:r w:rsidRPr="000A149C">
        <w:rPr>
          <w:rFonts w:cs="Calibri"/>
          <w:szCs w:val="24"/>
        </w:rPr>
        <w:t>VOCs and air toxics it contains. The final rule requires a 95 percent reduction of methane and VOC emissions from compressors with wet seal systems. This can be</w:t>
      </w:r>
      <w:r w:rsidRPr="000A149C">
        <w:rPr>
          <w:rFonts w:cs="Calibri"/>
          <w:w w:val="99"/>
          <w:szCs w:val="24"/>
        </w:rPr>
        <w:t xml:space="preserve"> </w:t>
      </w:r>
      <w:r w:rsidRPr="000A149C">
        <w:rPr>
          <w:rFonts w:cs="Calibri"/>
          <w:szCs w:val="24"/>
        </w:rPr>
        <w:t>accomplished through flaring, or by routing captured gas back to a process.</w:t>
      </w:r>
    </w:p>
    <w:p w14:paraId="47610349" w14:textId="77777777" w:rsidR="008D0DC1" w:rsidRPr="000A149C" w:rsidRDefault="008D0DC1" w:rsidP="004568B5">
      <w:pPr>
        <w:numPr>
          <w:ilvl w:val="1"/>
          <w:numId w:val="23"/>
        </w:numPr>
        <w:kinsoku w:val="0"/>
        <w:overflowPunct w:val="0"/>
        <w:autoSpaceDE w:val="0"/>
        <w:autoSpaceDN w:val="0"/>
        <w:adjustRightInd w:val="0"/>
        <w:spacing w:before="60" w:after="120"/>
        <w:ind w:left="1080" w:right="374"/>
        <w:rPr>
          <w:rFonts w:cs="Calibri"/>
          <w:szCs w:val="24"/>
        </w:rPr>
      </w:pPr>
      <w:r w:rsidRPr="000A149C">
        <w:rPr>
          <w:rFonts w:cs="Calibri"/>
          <w:szCs w:val="24"/>
        </w:rPr>
        <w:t>Compressors using dry seal systems, which have low methane and VOC emissions,</w:t>
      </w:r>
      <w:r w:rsidRPr="000A149C">
        <w:rPr>
          <w:rFonts w:cs="Calibri"/>
          <w:w w:val="99"/>
          <w:szCs w:val="24"/>
        </w:rPr>
        <w:t xml:space="preserve"> </w:t>
      </w:r>
      <w:r w:rsidRPr="000A149C">
        <w:rPr>
          <w:rFonts w:cs="Calibri"/>
          <w:szCs w:val="24"/>
        </w:rPr>
        <w:t>are not covered by the final rule. EPA encourages owners/operators to use</w:t>
      </w:r>
      <w:r w:rsidRPr="000A149C">
        <w:rPr>
          <w:rFonts w:cs="Calibri"/>
          <w:w w:val="99"/>
          <w:szCs w:val="24"/>
        </w:rPr>
        <w:t xml:space="preserve"> </w:t>
      </w:r>
      <w:r w:rsidRPr="000A149C">
        <w:rPr>
          <w:rFonts w:cs="Calibri"/>
          <w:szCs w:val="24"/>
        </w:rPr>
        <w:t>compressors with dry seal systems where possible.</w:t>
      </w:r>
    </w:p>
    <w:p w14:paraId="6FC7D4C5" w14:textId="77777777" w:rsidR="008D0DC1" w:rsidRPr="000A149C" w:rsidRDefault="008D0DC1" w:rsidP="004568B5">
      <w:pPr>
        <w:kinsoku w:val="0"/>
        <w:overflowPunct w:val="0"/>
        <w:autoSpaceDE w:val="0"/>
        <w:autoSpaceDN w:val="0"/>
        <w:adjustRightInd w:val="0"/>
        <w:spacing w:after="60"/>
        <w:ind w:left="360" w:right="109"/>
        <w:rPr>
          <w:rFonts w:cs="Calibri"/>
          <w:szCs w:val="24"/>
        </w:rPr>
      </w:pPr>
      <w:r w:rsidRPr="000A149C">
        <w:rPr>
          <w:rFonts w:cs="Calibri"/>
          <w:b/>
          <w:bCs/>
          <w:i/>
          <w:iCs/>
          <w:szCs w:val="24"/>
        </w:rPr>
        <w:t xml:space="preserve">Reciprocating compressors </w:t>
      </w:r>
      <w:r w:rsidRPr="000A149C">
        <w:rPr>
          <w:rFonts w:cs="Calibri"/>
          <w:szCs w:val="24"/>
        </w:rPr>
        <w:t>– The final rule requires the replacement of rod packing systems in reciprocating compressors. Over time, these packing systems can wear, leaking methane</w:t>
      </w:r>
      <w:r w:rsidRPr="000A149C">
        <w:rPr>
          <w:rFonts w:cs="Calibri"/>
          <w:w w:val="99"/>
          <w:szCs w:val="24"/>
        </w:rPr>
        <w:t xml:space="preserve"> </w:t>
      </w:r>
      <w:r w:rsidRPr="000A149C">
        <w:rPr>
          <w:rFonts w:cs="Calibri"/>
          <w:szCs w:val="24"/>
        </w:rPr>
        <w:t>and VOCs. The rule provides two options for replacing rod packing:</w:t>
      </w:r>
    </w:p>
    <w:p w14:paraId="603A6DD2" w14:textId="77777777" w:rsidR="008D0DC1" w:rsidRPr="000A149C" w:rsidRDefault="008D0DC1" w:rsidP="004568B5">
      <w:pPr>
        <w:numPr>
          <w:ilvl w:val="1"/>
          <w:numId w:val="24"/>
        </w:numPr>
        <w:kinsoku w:val="0"/>
        <w:overflowPunct w:val="0"/>
        <w:autoSpaceDE w:val="0"/>
        <w:autoSpaceDN w:val="0"/>
        <w:adjustRightInd w:val="0"/>
        <w:spacing w:after="60"/>
        <w:ind w:left="1080" w:right="312"/>
        <w:rPr>
          <w:rFonts w:cs="Calibri"/>
          <w:szCs w:val="24"/>
        </w:rPr>
      </w:pPr>
      <w:r w:rsidRPr="000A149C">
        <w:rPr>
          <w:rFonts w:cs="Calibri"/>
          <w:szCs w:val="24"/>
        </w:rPr>
        <w:t>On or before every 26,000 hours of operation (operating hours must be monitored and documented); or</w:t>
      </w:r>
    </w:p>
    <w:p w14:paraId="3C93ECA1" w14:textId="77777777" w:rsidR="008D0DC1" w:rsidRPr="000A149C" w:rsidRDefault="008D0DC1" w:rsidP="004568B5">
      <w:pPr>
        <w:numPr>
          <w:ilvl w:val="1"/>
          <w:numId w:val="24"/>
        </w:numPr>
        <w:kinsoku w:val="0"/>
        <w:overflowPunct w:val="0"/>
        <w:autoSpaceDE w:val="0"/>
        <w:autoSpaceDN w:val="0"/>
        <w:adjustRightInd w:val="0"/>
        <w:spacing w:after="120"/>
        <w:ind w:left="1080"/>
        <w:rPr>
          <w:rFonts w:cs="Calibri"/>
          <w:szCs w:val="24"/>
        </w:rPr>
      </w:pPr>
      <w:r w:rsidRPr="000A149C">
        <w:rPr>
          <w:rFonts w:cs="Calibri"/>
          <w:szCs w:val="24"/>
        </w:rPr>
        <w:t>Every 36 months (monitoring and documentation of operating hours not required).</w:t>
      </w:r>
    </w:p>
    <w:p w14:paraId="11E9A014" w14:textId="77777777" w:rsidR="008D0DC1" w:rsidRDefault="008D0DC1" w:rsidP="004568B5">
      <w:pPr>
        <w:kinsoku w:val="0"/>
        <w:overflowPunct w:val="0"/>
        <w:autoSpaceDE w:val="0"/>
        <w:autoSpaceDN w:val="0"/>
        <w:adjustRightInd w:val="0"/>
        <w:spacing w:after="200"/>
        <w:ind w:left="360" w:right="115"/>
        <w:rPr>
          <w:rFonts w:cs="Calibri"/>
          <w:szCs w:val="24"/>
        </w:rPr>
      </w:pPr>
      <w:r w:rsidRPr="000A149C">
        <w:rPr>
          <w:rFonts w:cs="Calibri"/>
          <w:szCs w:val="24"/>
        </w:rPr>
        <w:t>As an alternative to changing rod packing, operators may opt to route emissions from the</w:t>
      </w:r>
      <w:r w:rsidRPr="000A149C">
        <w:rPr>
          <w:rFonts w:cs="Calibri"/>
          <w:w w:val="99"/>
          <w:szCs w:val="24"/>
        </w:rPr>
        <w:t xml:space="preserve"> </w:t>
      </w:r>
      <w:r w:rsidRPr="000A149C">
        <w:rPr>
          <w:rFonts w:cs="Calibri"/>
          <w:szCs w:val="24"/>
        </w:rPr>
        <w:t>rod packing via a closed vent system under negative pressure to be reused or recycled by a process or piece of equipment.</w:t>
      </w:r>
      <w:r w:rsidR="004568B5">
        <w:rPr>
          <w:rFonts w:cs="Calibri"/>
          <w:szCs w:val="24"/>
        </w:rPr>
        <w:t>”</w:t>
      </w:r>
      <w:r w:rsidR="004568B5">
        <w:rPr>
          <w:rStyle w:val="FootnoteReference"/>
          <w:rFonts w:cs="Calibri"/>
          <w:szCs w:val="24"/>
        </w:rPr>
        <w:footnoteReference w:id="19"/>
      </w:r>
    </w:p>
    <w:p w14:paraId="4AAECC99" w14:textId="77777777" w:rsidR="004568B5" w:rsidRDefault="004568B5">
      <w:pPr>
        <w:rPr>
          <w:rFonts w:asciiTheme="minorHAnsi" w:eastAsiaTheme="majorEastAsia" w:hAnsiTheme="minorHAnsi" w:cstheme="majorBidi"/>
          <w:b/>
          <w:bCs/>
          <w:color w:val="000000" w:themeColor="text1"/>
          <w:sz w:val="32"/>
          <w:szCs w:val="26"/>
        </w:rPr>
      </w:pPr>
      <w:r>
        <w:br w:type="page"/>
      </w:r>
    </w:p>
    <w:p w14:paraId="2EEBDF4D" w14:textId="77777777" w:rsidR="00965BF2" w:rsidRDefault="00965BF2" w:rsidP="00421170">
      <w:pPr>
        <w:pStyle w:val="Heading2"/>
      </w:pPr>
      <w:bookmarkStart w:id="36" w:name="_Toc491349932"/>
      <w:r w:rsidRPr="00CC144E">
        <w:lastRenderedPageBreak/>
        <w:t xml:space="preserve">Cement </w:t>
      </w:r>
      <w:r>
        <w:t>Manufacturing</w:t>
      </w:r>
      <w:bookmarkEnd w:id="36"/>
      <w:r w:rsidRPr="00CC144E">
        <w:t xml:space="preserve"> </w:t>
      </w:r>
    </w:p>
    <w:p w14:paraId="29E25F05" w14:textId="77777777" w:rsidR="004D2A75" w:rsidRDefault="004D2A75" w:rsidP="008B38B5">
      <w:pPr>
        <w:pStyle w:val="Heading3"/>
      </w:pPr>
      <w:bookmarkStart w:id="37" w:name="_Toc491349933"/>
      <w:r>
        <w:t xml:space="preserve">Cement Plants in the </w:t>
      </w:r>
      <w:r w:rsidR="004B7B67">
        <w:t xml:space="preserve">OTR and </w:t>
      </w:r>
      <w:r>
        <w:t>CSAPR Update States</w:t>
      </w:r>
      <w:bookmarkEnd w:id="37"/>
      <w:r>
        <w:t xml:space="preserve"> </w:t>
      </w:r>
    </w:p>
    <w:p w14:paraId="6C6418AF" w14:textId="17EE77A7" w:rsidR="000C55B5" w:rsidRDefault="000C55B5" w:rsidP="000C55B5">
      <w:pPr>
        <w:tabs>
          <w:tab w:val="left" w:pos="7830"/>
        </w:tabs>
        <w:ind w:left="360"/>
      </w:pPr>
      <w:r>
        <w:t xml:space="preserve">The workgroup reviewed the 2014 NEI v1 database using the 5 digit NAICS for Cement Manufacturing which showed this sector to be a significant source of NOx accounting for </w:t>
      </w:r>
      <w:r w:rsidR="004569A4">
        <w:t xml:space="preserve">more than </w:t>
      </w:r>
      <w:r>
        <w:t>82,000 tons per year (</w:t>
      </w:r>
      <w:proofErr w:type="spellStart"/>
      <w:r>
        <w:t>tpy</w:t>
      </w:r>
      <w:proofErr w:type="spellEnd"/>
      <w:r>
        <w:t>)</w:t>
      </w:r>
      <w:r w:rsidRPr="006357D4">
        <w:t xml:space="preserve"> </w:t>
      </w:r>
      <w:r>
        <w:t xml:space="preserve">from facilities within the </w:t>
      </w:r>
      <w:r w:rsidRPr="004B7B67">
        <w:t xml:space="preserve">OTR and CSAPR Update </w:t>
      </w:r>
      <w:r>
        <w:t>s</w:t>
      </w:r>
      <w:r w:rsidRPr="004B7B67">
        <w:t>tates</w:t>
      </w:r>
      <w:r>
        <w:t xml:space="preserve"> (Fig. 5) </w:t>
      </w:r>
    </w:p>
    <w:p w14:paraId="5713D18E" w14:textId="77777777" w:rsidR="004D2A75" w:rsidRDefault="0049065B" w:rsidP="0049065B">
      <w:pPr>
        <w:tabs>
          <w:tab w:val="left" w:pos="7830"/>
        </w:tabs>
        <w:jc w:val="center"/>
      </w:pPr>
      <w:r>
        <w:rPr>
          <w:noProof/>
        </w:rPr>
        <w:drawing>
          <wp:inline distT="0" distB="0" distL="0" distR="0" wp14:anchorId="3BACE05A" wp14:editId="7227BD46">
            <wp:extent cx="5271135" cy="2444750"/>
            <wp:effectExtent l="0" t="0" r="571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5B28A7" w14:textId="77777777" w:rsidR="001833CC" w:rsidRPr="001833CC" w:rsidRDefault="001833CC" w:rsidP="001833CC">
      <w:pPr>
        <w:pStyle w:val="Caption"/>
        <w:jc w:val="center"/>
        <w:rPr>
          <w:b/>
          <w:i w:val="0"/>
          <w:color w:val="000000" w:themeColor="text1"/>
          <w:sz w:val="20"/>
          <w:szCs w:val="20"/>
        </w:rPr>
      </w:pPr>
      <w:bookmarkStart w:id="38" w:name="_Toc491350007"/>
      <w:r w:rsidRPr="001833CC">
        <w:rPr>
          <w:b/>
          <w:i w:val="0"/>
          <w:color w:val="000000" w:themeColor="text1"/>
          <w:sz w:val="20"/>
          <w:szCs w:val="20"/>
        </w:rPr>
        <w:t xml:space="preserve">Figure </w:t>
      </w:r>
      <w:r w:rsidR="00190587" w:rsidRPr="001833CC">
        <w:rPr>
          <w:b/>
          <w:i w:val="0"/>
          <w:color w:val="000000" w:themeColor="text1"/>
          <w:sz w:val="20"/>
          <w:szCs w:val="20"/>
        </w:rPr>
        <w:fldChar w:fldCharType="begin"/>
      </w:r>
      <w:r w:rsidRPr="001833CC">
        <w:rPr>
          <w:b/>
          <w:i w:val="0"/>
          <w:color w:val="000000" w:themeColor="text1"/>
          <w:sz w:val="20"/>
          <w:szCs w:val="20"/>
        </w:rPr>
        <w:instrText xml:space="preserve"> SEQ Figure \* ARABIC </w:instrText>
      </w:r>
      <w:r w:rsidR="00190587" w:rsidRPr="001833CC">
        <w:rPr>
          <w:b/>
          <w:i w:val="0"/>
          <w:color w:val="000000" w:themeColor="text1"/>
          <w:sz w:val="20"/>
          <w:szCs w:val="20"/>
        </w:rPr>
        <w:fldChar w:fldCharType="separate"/>
      </w:r>
      <w:r w:rsidR="001331CA">
        <w:rPr>
          <w:b/>
          <w:i w:val="0"/>
          <w:noProof/>
          <w:color w:val="000000" w:themeColor="text1"/>
          <w:sz w:val="20"/>
          <w:szCs w:val="20"/>
        </w:rPr>
        <w:t>5</w:t>
      </w:r>
      <w:r w:rsidR="00190587" w:rsidRPr="001833CC">
        <w:rPr>
          <w:b/>
          <w:i w:val="0"/>
          <w:color w:val="000000" w:themeColor="text1"/>
          <w:sz w:val="20"/>
          <w:szCs w:val="20"/>
        </w:rPr>
        <w:fldChar w:fldCharType="end"/>
      </w:r>
      <w:r w:rsidRPr="001833CC">
        <w:rPr>
          <w:b/>
          <w:i w:val="0"/>
          <w:color w:val="000000" w:themeColor="text1"/>
          <w:sz w:val="20"/>
          <w:szCs w:val="20"/>
        </w:rPr>
        <w:t xml:space="preserve">  NOx Emissions from Cement Manufacturing Sector in OTR and CSAPR U region</w:t>
      </w:r>
      <w:bookmarkEnd w:id="38"/>
      <w:r w:rsidR="00190587">
        <w:rPr>
          <w:b/>
          <w:i w:val="0"/>
          <w:color w:val="000000" w:themeColor="text1"/>
          <w:sz w:val="20"/>
          <w:szCs w:val="20"/>
        </w:rPr>
        <w:fldChar w:fldCharType="begin"/>
      </w:r>
      <w:r>
        <w:instrText xml:space="preserve"> XE "</w:instrText>
      </w:r>
      <w:r w:rsidRPr="001833CC">
        <w:rPr>
          <w:b/>
          <w:i w:val="0"/>
          <w:color w:val="000000" w:themeColor="text1"/>
          <w:sz w:val="20"/>
          <w:szCs w:val="20"/>
        </w:rPr>
        <w:instrText xml:space="preserve">Figure </w:instrText>
      </w:r>
      <w:r w:rsidRPr="001833CC">
        <w:rPr>
          <w:b/>
          <w:i w:val="0"/>
          <w:noProof/>
          <w:color w:val="000000" w:themeColor="text1"/>
          <w:sz w:val="20"/>
          <w:szCs w:val="20"/>
        </w:rPr>
        <w:instrText>5</w:instrText>
      </w:r>
      <w:r w:rsidRPr="001833CC">
        <w:rPr>
          <w:b/>
          <w:i w:val="0"/>
          <w:color w:val="000000" w:themeColor="text1"/>
          <w:sz w:val="20"/>
          <w:szCs w:val="20"/>
        </w:rPr>
        <w:instrText xml:space="preserve">  NOx Emissions from Cement Manufacturing Sector in OTR and CSAPR U region</w:instrText>
      </w:r>
      <w:r>
        <w:instrText xml:space="preserve">" </w:instrText>
      </w:r>
      <w:r w:rsidR="00190587">
        <w:rPr>
          <w:b/>
          <w:i w:val="0"/>
          <w:color w:val="000000" w:themeColor="text1"/>
          <w:sz w:val="20"/>
          <w:szCs w:val="20"/>
        </w:rPr>
        <w:fldChar w:fldCharType="end"/>
      </w:r>
    </w:p>
    <w:p w14:paraId="7A335001" w14:textId="2F03839D" w:rsidR="006F144C" w:rsidRDefault="0049065B" w:rsidP="006F144C">
      <w:pPr>
        <w:autoSpaceDE w:val="0"/>
        <w:autoSpaceDN w:val="0"/>
        <w:adjustRightInd w:val="0"/>
        <w:ind w:left="360"/>
        <w:rPr>
          <w:szCs w:val="24"/>
        </w:rPr>
      </w:pPr>
      <w:r>
        <w:rPr>
          <w:szCs w:val="24"/>
        </w:rPr>
        <w:t>The OTR states that do not have cement kiln operation</w:t>
      </w:r>
      <w:r w:rsidR="004569A4">
        <w:rPr>
          <w:szCs w:val="24"/>
        </w:rPr>
        <w:t>s</w:t>
      </w:r>
      <w:r>
        <w:rPr>
          <w:szCs w:val="24"/>
        </w:rPr>
        <w:t xml:space="preserve"> are: </w:t>
      </w:r>
      <w:r>
        <w:rPr>
          <w:rFonts w:eastAsia="Times New Roman" w:cs="Times New Roman"/>
          <w:szCs w:val="24"/>
        </w:rPr>
        <w:t xml:space="preserve">CT, DC, DE, MA, NH, NJ, RI, and VT. The </w:t>
      </w:r>
      <w:r>
        <w:rPr>
          <w:szCs w:val="24"/>
        </w:rPr>
        <w:t>CSAPR U states outside the OTR that do not have cement kiln operations are: LA, MS, and WI</w:t>
      </w:r>
      <w:r>
        <w:rPr>
          <w:rFonts w:eastAsia="Times New Roman" w:cs="Times New Roman"/>
          <w:szCs w:val="24"/>
        </w:rPr>
        <w:t xml:space="preserve">. For the states that do have cement kilns, </w:t>
      </w:r>
      <w:r>
        <w:rPr>
          <w:szCs w:val="24"/>
        </w:rPr>
        <w:t xml:space="preserve">some do not have a regulation limit in their state rules while others have a  NOx emission limit between 1.7 – 6.8 </w:t>
      </w:r>
      <w:proofErr w:type="spellStart"/>
      <w:r>
        <w:rPr>
          <w:szCs w:val="24"/>
        </w:rPr>
        <w:t>lbs</w:t>
      </w:r>
      <w:proofErr w:type="spellEnd"/>
      <w:r>
        <w:rPr>
          <w:szCs w:val="24"/>
        </w:rPr>
        <w:t xml:space="preserve">/ton clinker (30 day average) depending on the type of kilns. </w:t>
      </w:r>
      <w:r w:rsidR="001A4DF9">
        <w:rPr>
          <w:szCs w:val="24"/>
        </w:rPr>
        <w:t>OTC state regulations for c</w:t>
      </w:r>
      <w:r>
        <w:rPr>
          <w:szCs w:val="24"/>
        </w:rPr>
        <w:t xml:space="preserve">ement kilns noting the specific types of kilns are found in Appendix A. Depending on the type of kiln, i.e. Long Dry, Long Wet, Pre-heater </w:t>
      </w:r>
      <w:r w:rsidR="006F144C">
        <w:rPr>
          <w:szCs w:val="24"/>
        </w:rPr>
        <w:t xml:space="preserve">(PH) </w:t>
      </w:r>
      <w:r>
        <w:rPr>
          <w:szCs w:val="24"/>
        </w:rPr>
        <w:t>and Pre-</w:t>
      </w:r>
      <w:proofErr w:type="spellStart"/>
      <w:r>
        <w:rPr>
          <w:szCs w:val="24"/>
        </w:rPr>
        <w:t>calciner</w:t>
      </w:r>
      <w:proofErr w:type="spellEnd"/>
      <w:r w:rsidR="006F144C">
        <w:rPr>
          <w:szCs w:val="24"/>
        </w:rPr>
        <w:t xml:space="preserve"> (PC)</w:t>
      </w:r>
      <w:r>
        <w:rPr>
          <w:szCs w:val="24"/>
        </w:rPr>
        <w:t>, the NOx emission limits</w:t>
      </w:r>
      <w:r w:rsidR="006F144C">
        <w:rPr>
          <w:szCs w:val="24"/>
        </w:rPr>
        <w:t xml:space="preserve"> in the OTR for kilns</w:t>
      </w:r>
      <w:r>
        <w:rPr>
          <w:szCs w:val="24"/>
        </w:rPr>
        <w:t xml:space="preserve"> </w:t>
      </w:r>
      <w:r w:rsidR="006F144C">
        <w:rPr>
          <w:szCs w:val="24"/>
        </w:rPr>
        <w:t xml:space="preserve">whether new or older than 50 years </w:t>
      </w:r>
      <w:r>
        <w:rPr>
          <w:szCs w:val="24"/>
        </w:rPr>
        <w:t>range  from 1.52 – 3.88</w:t>
      </w:r>
      <w:r w:rsidRPr="00AA17B6">
        <w:rPr>
          <w:szCs w:val="24"/>
        </w:rPr>
        <w:t xml:space="preserve"> </w:t>
      </w:r>
      <w:proofErr w:type="spellStart"/>
      <w:r>
        <w:rPr>
          <w:szCs w:val="24"/>
        </w:rPr>
        <w:t>lbs</w:t>
      </w:r>
      <w:proofErr w:type="spellEnd"/>
      <w:r>
        <w:rPr>
          <w:szCs w:val="24"/>
        </w:rPr>
        <w:t>/ton clinker per 30 day average</w:t>
      </w:r>
      <w:r w:rsidR="006F144C">
        <w:rPr>
          <w:szCs w:val="24"/>
        </w:rPr>
        <w:t xml:space="preserve">. In 2010 EPA finalized the Cement NSPS (40 CFR Part 60, Subpart F) which requires PH/PC kilns to meet a </w:t>
      </w:r>
      <w:r w:rsidR="004569A4">
        <w:rPr>
          <w:szCs w:val="24"/>
        </w:rPr>
        <w:t xml:space="preserve">limit of </w:t>
      </w:r>
      <w:r w:rsidR="006F144C">
        <w:rPr>
          <w:szCs w:val="24"/>
        </w:rPr>
        <w:t xml:space="preserve">1.5 </w:t>
      </w:r>
      <w:proofErr w:type="spellStart"/>
      <w:r w:rsidR="006F144C">
        <w:rPr>
          <w:szCs w:val="24"/>
        </w:rPr>
        <w:t>lb</w:t>
      </w:r>
      <w:proofErr w:type="spellEnd"/>
      <w:r w:rsidR="006F144C">
        <w:rPr>
          <w:szCs w:val="24"/>
        </w:rPr>
        <w:t xml:space="preserve"> NOx/ton clinker. It is assumed SNCR will be installed on all new kilns to control NOx, and Continuous Emissions Monitoring (CEM) will be installed</w:t>
      </w:r>
      <w:r w:rsidR="000C55B5" w:rsidRPr="000C55B5">
        <w:rPr>
          <w:szCs w:val="24"/>
        </w:rPr>
        <w:t xml:space="preserve"> </w:t>
      </w:r>
      <w:r w:rsidR="000C55B5">
        <w:rPr>
          <w:szCs w:val="24"/>
        </w:rPr>
        <w:t xml:space="preserve">for compliance with EPA requirements. </w:t>
      </w:r>
      <w:r w:rsidR="006F144C" w:rsidRPr="006F144C">
        <w:rPr>
          <w:szCs w:val="24"/>
        </w:rPr>
        <w:t>Appendix A</w:t>
      </w:r>
      <w:r w:rsidR="006F144C">
        <w:rPr>
          <w:szCs w:val="24"/>
        </w:rPr>
        <w:t xml:space="preserve"> has a table of Uncontrolled NOx Emission Data from the EPA 2000 </w:t>
      </w:r>
      <w:r w:rsidR="004569A4">
        <w:rPr>
          <w:szCs w:val="24"/>
        </w:rPr>
        <w:t>Alternative Control Techniques (</w:t>
      </w:r>
      <w:r w:rsidR="006F144C">
        <w:rPr>
          <w:szCs w:val="24"/>
        </w:rPr>
        <w:t>ACT</w:t>
      </w:r>
      <w:r w:rsidR="004569A4">
        <w:rPr>
          <w:szCs w:val="24"/>
        </w:rPr>
        <w:t>)</w:t>
      </w:r>
      <w:r w:rsidR="006F144C">
        <w:rPr>
          <w:szCs w:val="24"/>
        </w:rPr>
        <w:t xml:space="preserve"> which shows the average uncontrolled NOx rate in the range of 1.7 - 6.2 </w:t>
      </w:r>
      <w:proofErr w:type="spellStart"/>
      <w:r w:rsidR="006F144C" w:rsidRPr="00750207">
        <w:rPr>
          <w:szCs w:val="24"/>
        </w:rPr>
        <w:t>lbs</w:t>
      </w:r>
      <w:proofErr w:type="spellEnd"/>
      <w:r w:rsidR="006F144C" w:rsidRPr="00750207">
        <w:rPr>
          <w:szCs w:val="24"/>
        </w:rPr>
        <w:t>/ton clinker</w:t>
      </w:r>
      <w:r w:rsidR="006F144C">
        <w:rPr>
          <w:szCs w:val="24"/>
        </w:rPr>
        <w:t xml:space="preserve"> per 30 day average.</w:t>
      </w:r>
    </w:p>
    <w:p w14:paraId="1D911F31" w14:textId="77777777" w:rsidR="00166123" w:rsidRPr="008F2CB2" w:rsidRDefault="00166123" w:rsidP="008B38B5">
      <w:pPr>
        <w:pStyle w:val="Heading3"/>
      </w:pPr>
      <w:bookmarkStart w:id="39" w:name="_Toc491349934"/>
      <w:bookmarkStart w:id="40" w:name="_Toc469650981"/>
      <w:r w:rsidRPr="008F2CB2">
        <w:lastRenderedPageBreak/>
        <w:t>Background</w:t>
      </w:r>
      <w:bookmarkEnd w:id="39"/>
    </w:p>
    <w:p w14:paraId="636652C5" w14:textId="77777777" w:rsidR="00166123" w:rsidRPr="008F2CB2" w:rsidRDefault="00166123" w:rsidP="008F2CB2">
      <w:pPr>
        <w:autoSpaceDE w:val="0"/>
        <w:autoSpaceDN w:val="0"/>
        <w:adjustRightInd w:val="0"/>
        <w:spacing w:after="120"/>
        <w:ind w:left="360"/>
        <w:rPr>
          <w:rFonts w:asciiTheme="minorHAnsi" w:hAnsiTheme="minorHAnsi" w:cs="Calibri"/>
          <w:szCs w:val="24"/>
        </w:rPr>
      </w:pPr>
      <w:r w:rsidRPr="008F2CB2">
        <w:rPr>
          <w:rFonts w:asciiTheme="minorHAnsi" w:hAnsiTheme="minorHAnsi" w:cs="Calibri"/>
          <w:szCs w:val="24"/>
        </w:rPr>
        <w:t>“Portland cement manufacturing is an “energy‐intensive process that grinds and heats a mixture of raw materials such as limestone, clay, sand and iron ore in a rotary kiln” into a product called clinker which “is cooled, ground and then mixed with a small amount of gypsum to produce cement” (Fig. 6).</w:t>
      </w:r>
    </w:p>
    <w:p w14:paraId="678243B4" w14:textId="77777777" w:rsidR="003901F8" w:rsidRDefault="003901F8" w:rsidP="003901F8">
      <w:pPr>
        <w:ind w:left="360"/>
        <w:rPr>
          <w:szCs w:val="24"/>
        </w:rPr>
      </w:pPr>
      <w:r>
        <w:rPr>
          <w:noProof/>
          <w:szCs w:val="24"/>
        </w:rPr>
        <w:drawing>
          <wp:inline distT="0" distB="0" distL="0" distR="0" wp14:anchorId="79952BCD" wp14:editId="6ABE3D99">
            <wp:extent cx="5737860" cy="29201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ment_Production_line_m-great-wall-c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4525" cy="2928642"/>
                    </a:xfrm>
                    <a:prstGeom prst="rect">
                      <a:avLst/>
                    </a:prstGeom>
                  </pic:spPr>
                </pic:pic>
              </a:graphicData>
            </a:graphic>
          </wp:inline>
        </w:drawing>
      </w:r>
    </w:p>
    <w:p w14:paraId="0B6C3F10" w14:textId="77777777" w:rsidR="003901F8" w:rsidRDefault="003901F8" w:rsidP="003901F8">
      <w:pPr>
        <w:pStyle w:val="Caption"/>
        <w:jc w:val="center"/>
        <w:rPr>
          <w:rFonts w:asciiTheme="minorHAnsi" w:hAnsiTheme="minorHAnsi"/>
          <w:b/>
          <w:i w:val="0"/>
          <w:color w:val="auto"/>
          <w:sz w:val="22"/>
          <w:szCs w:val="22"/>
        </w:rPr>
      </w:pPr>
      <w:bookmarkStart w:id="41" w:name="_Toc491350008"/>
      <w:r w:rsidRPr="001833CC">
        <w:rPr>
          <w:b/>
          <w:i w:val="0"/>
          <w:color w:val="000000" w:themeColor="text1"/>
          <w:sz w:val="20"/>
          <w:szCs w:val="20"/>
        </w:rPr>
        <w:t xml:space="preserve">Figure </w:t>
      </w:r>
      <w:r w:rsidR="00190587" w:rsidRPr="001833CC">
        <w:rPr>
          <w:b/>
          <w:i w:val="0"/>
          <w:color w:val="000000" w:themeColor="text1"/>
          <w:sz w:val="20"/>
          <w:szCs w:val="20"/>
        </w:rPr>
        <w:fldChar w:fldCharType="begin"/>
      </w:r>
      <w:r w:rsidRPr="001833CC">
        <w:rPr>
          <w:b/>
          <w:i w:val="0"/>
          <w:color w:val="000000" w:themeColor="text1"/>
          <w:sz w:val="20"/>
          <w:szCs w:val="20"/>
        </w:rPr>
        <w:instrText xml:space="preserve"> SEQ Figure \* ARABIC </w:instrText>
      </w:r>
      <w:r w:rsidR="00190587" w:rsidRPr="001833CC">
        <w:rPr>
          <w:b/>
          <w:i w:val="0"/>
          <w:color w:val="000000" w:themeColor="text1"/>
          <w:sz w:val="20"/>
          <w:szCs w:val="20"/>
        </w:rPr>
        <w:fldChar w:fldCharType="separate"/>
      </w:r>
      <w:r w:rsidR="001331CA">
        <w:rPr>
          <w:b/>
          <w:i w:val="0"/>
          <w:noProof/>
          <w:color w:val="000000" w:themeColor="text1"/>
          <w:sz w:val="20"/>
          <w:szCs w:val="20"/>
        </w:rPr>
        <w:t>6</w:t>
      </w:r>
      <w:r w:rsidR="00190587" w:rsidRPr="001833CC">
        <w:rPr>
          <w:b/>
          <w:i w:val="0"/>
          <w:color w:val="000000" w:themeColor="text1"/>
          <w:sz w:val="20"/>
          <w:szCs w:val="20"/>
        </w:rPr>
        <w:fldChar w:fldCharType="end"/>
      </w:r>
      <w:r w:rsidRPr="001833CC">
        <w:rPr>
          <w:b/>
          <w:i w:val="0"/>
          <w:color w:val="000000" w:themeColor="text1"/>
          <w:sz w:val="20"/>
          <w:szCs w:val="20"/>
        </w:rPr>
        <w:t xml:space="preserve">  </w:t>
      </w:r>
      <w:r w:rsidRPr="001833CC">
        <w:rPr>
          <w:rFonts w:asciiTheme="minorHAnsi" w:hAnsiTheme="minorHAnsi"/>
          <w:b/>
          <w:i w:val="0"/>
          <w:color w:val="000000" w:themeColor="text1"/>
          <w:sz w:val="20"/>
          <w:szCs w:val="20"/>
        </w:rPr>
        <w:t>Schematic of a Cement Kiln Operation</w:t>
      </w:r>
      <w:r w:rsidR="00190587">
        <w:rPr>
          <w:rFonts w:asciiTheme="minorHAnsi" w:hAnsiTheme="minorHAnsi"/>
          <w:b/>
          <w:i w:val="0"/>
          <w:color w:val="000000" w:themeColor="text1"/>
          <w:sz w:val="20"/>
          <w:szCs w:val="20"/>
        </w:rPr>
        <w:fldChar w:fldCharType="begin"/>
      </w:r>
      <w:r>
        <w:instrText xml:space="preserve"> XE "</w:instrText>
      </w:r>
      <w:r w:rsidRPr="001833CC">
        <w:rPr>
          <w:b/>
          <w:i w:val="0"/>
          <w:color w:val="000000" w:themeColor="text1"/>
          <w:sz w:val="20"/>
          <w:szCs w:val="20"/>
        </w:rPr>
        <w:instrText xml:space="preserve">Figure </w:instrText>
      </w:r>
      <w:r w:rsidRPr="001833CC">
        <w:rPr>
          <w:b/>
          <w:i w:val="0"/>
          <w:noProof/>
          <w:color w:val="000000" w:themeColor="text1"/>
          <w:sz w:val="20"/>
          <w:szCs w:val="20"/>
        </w:rPr>
        <w:instrText>6</w:instrText>
      </w:r>
      <w:r w:rsidRPr="001833CC">
        <w:rPr>
          <w:b/>
          <w:i w:val="0"/>
          <w:color w:val="000000" w:themeColor="text1"/>
          <w:sz w:val="20"/>
          <w:szCs w:val="20"/>
        </w:rPr>
        <w:instrText xml:space="preserve">  </w:instrText>
      </w:r>
      <w:r w:rsidRPr="001833CC">
        <w:rPr>
          <w:rFonts w:asciiTheme="minorHAnsi" w:hAnsiTheme="minorHAnsi"/>
          <w:b/>
          <w:i w:val="0"/>
          <w:color w:val="000000" w:themeColor="text1"/>
          <w:sz w:val="20"/>
          <w:szCs w:val="20"/>
        </w:rPr>
        <w:instrText>Schematic of a Cement Kiln Operation</w:instrText>
      </w:r>
      <w:r>
        <w:instrText xml:space="preserve">" </w:instrText>
      </w:r>
      <w:r w:rsidR="00190587">
        <w:rPr>
          <w:rFonts w:asciiTheme="minorHAnsi" w:hAnsiTheme="minorHAnsi"/>
          <w:b/>
          <w:i w:val="0"/>
          <w:color w:val="000000" w:themeColor="text1"/>
          <w:sz w:val="20"/>
          <w:szCs w:val="20"/>
        </w:rPr>
        <w:fldChar w:fldCharType="end"/>
      </w:r>
      <w:r w:rsidRPr="001833CC">
        <w:rPr>
          <w:rStyle w:val="FootnoteReference"/>
          <w:rFonts w:asciiTheme="minorHAnsi" w:hAnsiTheme="minorHAnsi"/>
          <w:b/>
          <w:i w:val="0"/>
          <w:color w:val="000000" w:themeColor="text1"/>
          <w:sz w:val="22"/>
          <w:szCs w:val="22"/>
        </w:rPr>
        <w:t xml:space="preserve"> </w:t>
      </w:r>
      <w:r w:rsidRPr="0074235B">
        <w:rPr>
          <w:rStyle w:val="FootnoteReference"/>
          <w:rFonts w:asciiTheme="minorHAnsi" w:hAnsiTheme="minorHAnsi"/>
          <w:b/>
          <w:i w:val="0"/>
          <w:color w:val="auto"/>
          <w:sz w:val="22"/>
          <w:szCs w:val="22"/>
        </w:rPr>
        <w:footnoteReference w:id="20"/>
      </w:r>
      <w:bookmarkEnd w:id="41"/>
    </w:p>
    <w:p w14:paraId="52BC0727" w14:textId="77777777" w:rsidR="00166123" w:rsidRPr="0087169F" w:rsidRDefault="00166123" w:rsidP="003901F8">
      <w:pPr>
        <w:autoSpaceDE w:val="0"/>
        <w:autoSpaceDN w:val="0"/>
        <w:adjustRightInd w:val="0"/>
        <w:spacing w:after="120"/>
        <w:ind w:left="360"/>
        <w:rPr>
          <w:rFonts w:asciiTheme="minorHAnsi" w:hAnsiTheme="minorHAnsi" w:cs="Calibri"/>
          <w:color w:val="000000" w:themeColor="text1"/>
          <w:szCs w:val="24"/>
        </w:rPr>
      </w:pPr>
      <w:r w:rsidRPr="008F2CB2">
        <w:rPr>
          <w:rFonts w:asciiTheme="minorHAnsi" w:hAnsiTheme="minorHAnsi" w:cs="Calibri"/>
          <w:szCs w:val="24"/>
        </w:rPr>
        <w:t>“The main source of air toxics emissions from a Portland cement plant is the kiln.” Emissions of a variety of pollutants originate in the kiln from “the burning of fuels and heating of raw feed materials”, and “from the grinding, cooling, and materials handling steps in the manufacturing process””</w:t>
      </w:r>
      <w:bookmarkStart w:id="42" w:name="OLE_LINK36"/>
      <w:bookmarkStart w:id="43" w:name="OLE_LINK41"/>
      <w:r w:rsidRPr="008F2CB2">
        <w:rPr>
          <w:rStyle w:val="FootnoteReference"/>
          <w:rFonts w:asciiTheme="minorHAnsi" w:hAnsiTheme="minorHAnsi" w:cs="Calibri"/>
          <w:szCs w:val="24"/>
        </w:rPr>
        <w:footnoteReference w:id="21"/>
      </w:r>
      <w:bookmarkEnd w:id="42"/>
      <w:bookmarkEnd w:id="43"/>
      <w:r w:rsidR="002A3230">
        <w:rPr>
          <w:rFonts w:asciiTheme="minorHAnsi" w:hAnsiTheme="minorHAnsi" w:cs="Calibri"/>
          <w:szCs w:val="24"/>
        </w:rPr>
        <w:t>.</w:t>
      </w:r>
    </w:p>
    <w:p w14:paraId="126B41CE" w14:textId="77777777" w:rsidR="00166123" w:rsidRPr="008F2CB2" w:rsidRDefault="00692512" w:rsidP="008F2CB2">
      <w:pPr>
        <w:autoSpaceDE w:val="0"/>
        <w:autoSpaceDN w:val="0"/>
        <w:adjustRightInd w:val="0"/>
        <w:spacing w:after="120"/>
        <w:ind w:left="360"/>
        <w:rPr>
          <w:rFonts w:asciiTheme="minorHAnsi" w:hAnsiTheme="minorHAnsi" w:cs="Calibri"/>
          <w:szCs w:val="24"/>
        </w:rPr>
      </w:pPr>
      <w:r>
        <w:rPr>
          <w:rFonts w:asciiTheme="minorHAnsi" w:hAnsiTheme="minorHAnsi" w:cs="Calibri"/>
          <w:szCs w:val="24"/>
        </w:rPr>
        <w:t>“</w:t>
      </w:r>
      <w:r w:rsidR="00166123" w:rsidRPr="008F2CB2">
        <w:rPr>
          <w:rFonts w:asciiTheme="minorHAnsi" w:hAnsiTheme="minorHAnsi" w:cs="Calibri"/>
          <w:szCs w:val="24"/>
        </w:rPr>
        <w:t xml:space="preserve">There are essentially two </w:t>
      </w:r>
      <w:r w:rsidR="00AF3B28">
        <w:rPr>
          <w:rFonts w:asciiTheme="minorHAnsi" w:hAnsiTheme="minorHAnsi" w:cs="Calibri"/>
          <w:szCs w:val="24"/>
        </w:rPr>
        <w:t xml:space="preserve">general </w:t>
      </w:r>
      <w:r w:rsidR="00166123" w:rsidRPr="008F2CB2">
        <w:rPr>
          <w:rFonts w:asciiTheme="minorHAnsi" w:hAnsiTheme="minorHAnsi" w:cs="Calibri"/>
          <w:szCs w:val="24"/>
        </w:rPr>
        <w:t>types of cement kilns</w:t>
      </w:r>
      <w:r w:rsidR="00EE744F">
        <w:rPr>
          <w:rFonts w:asciiTheme="minorHAnsi" w:hAnsiTheme="minorHAnsi" w:cs="Calibri"/>
          <w:szCs w:val="24"/>
        </w:rPr>
        <w:t>, wet and dry</w:t>
      </w:r>
      <w:r w:rsidR="00166123" w:rsidRPr="008F2CB2">
        <w:rPr>
          <w:rFonts w:asciiTheme="minorHAnsi" w:hAnsiTheme="minorHAnsi" w:cs="Calibri"/>
          <w:szCs w:val="24"/>
        </w:rPr>
        <w:t>:</w:t>
      </w:r>
    </w:p>
    <w:p w14:paraId="37C83F1F" w14:textId="77777777" w:rsidR="00166123" w:rsidRPr="008F2CB2" w:rsidRDefault="00166123" w:rsidP="008F2CB2">
      <w:pPr>
        <w:autoSpaceDE w:val="0"/>
        <w:autoSpaceDN w:val="0"/>
        <w:adjustRightInd w:val="0"/>
        <w:spacing w:after="120"/>
        <w:ind w:left="360"/>
        <w:rPr>
          <w:rFonts w:asciiTheme="minorHAnsi" w:hAnsiTheme="minorHAnsi" w:cs="Calibri"/>
          <w:szCs w:val="24"/>
        </w:rPr>
      </w:pPr>
      <w:r w:rsidRPr="008F2CB2">
        <w:rPr>
          <w:rFonts w:asciiTheme="minorHAnsi" w:hAnsiTheme="minorHAnsi" w:cs="Calibri"/>
          <w:szCs w:val="24"/>
        </w:rPr>
        <w:t xml:space="preserve">Wet process kilns: The original rotary cement kilns were called 'wet process' kilns since the raw meal </w:t>
      </w:r>
      <w:r w:rsidR="000C55B5">
        <w:rPr>
          <w:rFonts w:asciiTheme="minorHAnsi" w:hAnsiTheme="minorHAnsi" w:cs="Calibri"/>
          <w:szCs w:val="24"/>
        </w:rPr>
        <w:t>(the mixture of minerals whose composition varies with the desired final product)</w:t>
      </w:r>
      <w:r w:rsidR="000C55B5" w:rsidRPr="008F2CB2">
        <w:rPr>
          <w:rFonts w:asciiTheme="minorHAnsi" w:hAnsiTheme="minorHAnsi" w:cs="Calibri"/>
          <w:szCs w:val="24"/>
        </w:rPr>
        <w:t xml:space="preserve"> </w:t>
      </w:r>
      <w:r w:rsidRPr="008F2CB2">
        <w:rPr>
          <w:rFonts w:asciiTheme="minorHAnsi" w:hAnsiTheme="minorHAnsi" w:cs="Calibri"/>
          <w:szCs w:val="24"/>
        </w:rPr>
        <w:t>used was in the form of a slurry with ~40% water at ambient temperature. Evaporating this water to dry out the slurry is an energy-intensive process and “various developments of the wet process (such as the 'filter press') were aimed at reducing the water content of the raw meal”. The wet process still continues today because many raw materials are suited to blending a slurry.</w:t>
      </w:r>
    </w:p>
    <w:p w14:paraId="182A6673" w14:textId="77777777" w:rsidR="00166123" w:rsidRPr="008F2CB2" w:rsidRDefault="00166123" w:rsidP="008F2CB2">
      <w:pPr>
        <w:autoSpaceDE w:val="0"/>
        <w:autoSpaceDN w:val="0"/>
        <w:adjustRightInd w:val="0"/>
        <w:spacing w:after="120"/>
        <w:ind w:left="360"/>
        <w:rPr>
          <w:rFonts w:asciiTheme="minorHAnsi" w:hAnsiTheme="minorHAnsi" w:cs="Calibri"/>
          <w:szCs w:val="24"/>
        </w:rPr>
      </w:pPr>
      <w:r w:rsidRPr="008F2CB2">
        <w:rPr>
          <w:rFonts w:asciiTheme="minorHAnsi" w:hAnsiTheme="minorHAnsi" w:cs="Calibri"/>
          <w:szCs w:val="24"/>
        </w:rPr>
        <w:lastRenderedPageBreak/>
        <w:t>Dry process kilns: The basic dry process system consists of the kiln and a suspension preheater. Raw materials such as limestone and shale are ground finely and blended to produce the raw meal which is fed in at the top of the “suspension preheater” tower. This tower has a series of cyclones through which fast-moving hot gases from the kiln and, often, hot air from the clinker cooler are blown to keep the meal powder suspended in air until it reaches the same temperature as the gas. So the raw meal is heated before it enters the kiln.</w:t>
      </w:r>
      <w:r w:rsidR="00692512">
        <w:rPr>
          <w:rFonts w:asciiTheme="minorHAnsi" w:hAnsiTheme="minorHAnsi" w:cs="Calibri"/>
          <w:szCs w:val="24"/>
        </w:rPr>
        <w:t>”</w:t>
      </w:r>
      <w:r w:rsidR="00692512" w:rsidRPr="008F2CB2">
        <w:rPr>
          <w:rStyle w:val="FootnoteReference"/>
          <w:rFonts w:asciiTheme="minorHAnsi" w:hAnsiTheme="minorHAnsi" w:cs="Calibri"/>
          <w:szCs w:val="24"/>
        </w:rPr>
        <w:footnoteReference w:id="22"/>
      </w:r>
    </w:p>
    <w:p w14:paraId="2DA9099E" w14:textId="77777777" w:rsidR="00166123" w:rsidRPr="008F2CB2" w:rsidRDefault="00692512" w:rsidP="008F2CB2">
      <w:pPr>
        <w:autoSpaceDE w:val="0"/>
        <w:autoSpaceDN w:val="0"/>
        <w:adjustRightInd w:val="0"/>
        <w:spacing w:after="120"/>
        <w:ind w:left="360"/>
        <w:rPr>
          <w:rFonts w:asciiTheme="minorHAnsi" w:hAnsiTheme="minorHAnsi" w:cs="Calibri"/>
          <w:szCs w:val="24"/>
        </w:rPr>
      </w:pPr>
      <w:r>
        <w:rPr>
          <w:rFonts w:asciiTheme="minorHAnsi" w:hAnsiTheme="minorHAnsi" w:cs="Calibri"/>
          <w:szCs w:val="24"/>
        </w:rPr>
        <w:t>“</w:t>
      </w:r>
      <w:r w:rsidR="00166123" w:rsidRPr="008F2CB2">
        <w:rPr>
          <w:rFonts w:asciiTheme="minorHAnsi" w:hAnsiTheme="minorHAnsi" w:cs="Calibri"/>
          <w:szCs w:val="24"/>
        </w:rPr>
        <w:t>“The dry process is much more thermally efficient than the wet process” because the meal is a dry powder with little or no water to be evaporated, and the heat transfer from the hot gases to the raw meal is efficient because of the very high surface area to-size ratio of meal particles and the large temperature differential between the hot gas and the cooler meal. Typically, 30-40% of the meal is de</w:t>
      </w:r>
      <w:r w:rsidR="00391CBD">
        <w:rPr>
          <w:rFonts w:asciiTheme="minorHAnsi" w:hAnsiTheme="minorHAnsi" w:cs="Calibri"/>
          <w:szCs w:val="24"/>
        </w:rPr>
        <w:t>-</w:t>
      </w:r>
      <w:r w:rsidR="00166123" w:rsidRPr="008F2CB2">
        <w:rPr>
          <w:rFonts w:asciiTheme="minorHAnsi" w:hAnsiTheme="minorHAnsi" w:cs="Calibri"/>
          <w:szCs w:val="24"/>
        </w:rPr>
        <w:t>carbonated before entering the kiln.</w:t>
      </w:r>
    </w:p>
    <w:p w14:paraId="48E2C2F2" w14:textId="77777777" w:rsidR="00166123" w:rsidRPr="008F2CB2" w:rsidRDefault="00166123" w:rsidP="008F2CB2">
      <w:pPr>
        <w:autoSpaceDE w:val="0"/>
        <w:autoSpaceDN w:val="0"/>
        <w:adjustRightInd w:val="0"/>
        <w:spacing w:after="120"/>
        <w:ind w:left="360"/>
        <w:rPr>
          <w:rFonts w:asciiTheme="minorHAnsi" w:hAnsiTheme="minorHAnsi" w:cs="Calibri"/>
          <w:szCs w:val="24"/>
        </w:rPr>
      </w:pPr>
      <w:r w:rsidRPr="008F2CB2">
        <w:rPr>
          <w:rFonts w:asciiTheme="minorHAnsi" w:hAnsiTheme="minorHAnsi" w:cs="Calibri"/>
          <w:szCs w:val="24"/>
        </w:rPr>
        <w:t>Most new cement plants are of the 'dry process' type and use '</w:t>
      </w:r>
      <w:proofErr w:type="spellStart"/>
      <w:r w:rsidRPr="008F2CB2">
        <w:rPr>
          <w:rFonts w:asciiTheme="minorHAnsi" w:hAnsiTheme="minorHAnsi" w:cs="Calibri"/>
          <w:szCs w:val="24"/>
        </w:rPr>
        <w:t>precalciner</w:t>
      </w:r>
      <w:proofErr w:type="spellEnd"/>
      <w:r w:rsidRPr="008F2CB2">
        <w:rPr>
          <w:rFonts w:asciiTheme="minorHAnsi" w:hAnsiTheme="minorHAnsi" w:cs="Calibri"/>
          <w:szCs w:val="24"/>
        </w:rPr>
        <w:t xml:space="preserve">' kilns which operate on a similar principle to that of preheater system but with the major addition of another burner called </w:t>
      </w:r>
      <w:proofErr w:type="spellStart"/>
      <w:r w:rsidRPr="008F2CB2">
        <w:rPr>
          <w:rFonts w:asciiTheme="minorHAnsi" w:hAnsiTheme="minorHAnsi" w:cs="Calibri"/>
          <w:szCs w:val="24"/>
        </w:rPr>
        <w:t>precalciner</w:t>
      </w:r>
      <w:proofErr w:type="spellEnd"/>
      <w:r w:rsidRPr="008F2CB2">
        <w:rPr>
          <w:rFonts w:asciiTheme="minorHAnsi" w:hAnsiTheme="minorHAnsi" w:cs="Calibri"/>
          <w:szCs w:val="24"/>
        </w:rPr>
        <w:t xml:space="preserve"> (Fig. 7). With this additional heat, about 85-95% of the meal is de</w:t>
      </w:r>
      <w:r w:rsidR="00391CBD">
        <w:rPr>
          <w:rFonts w:asciiTheme="minorHAnsi" w:hAnsiTheme="minorHAnsi" w:cs="Calibri"/>
          <w:szCs w:val="24"/>
        </w:rPr>
        <w:t>-</w:t>
      </w:r>
      <w:r w:rsidRPr="008F2CB2">
        <w:rPr>
          <w:rFonts w:asciiTheme="minorHAnsi" w:hAnsiTheme="minorHAnsi" w:cs="Calibri"/>
          <w:szCs w:val="24"/>
        </w:rPr>
        <w:t xml:space="preserve">carbonated before it enters the kiln. “Whenever economically feasible a wet process kiln can be converted to a state-of-the art dry process production facility” that includes a multi-stage preheater with or without a </w:t>
      </w:r>
      <w:proofErr w:type="spellStart"/>
      <w:r w:rsidRPr="008F2CB2">
        <w:rPr>
          <w:rFonts w:asciiTheme="minorHAnsi" w:hAnsiTheme="minorHAnsi" w:cs="Calibri"/>
          <w:szCs w:val="24"/>
        </w:rPr>
        <w:t>precalciner</w:t>
      </w:r>
      <w:proofErr w:type="spellEnd"/>
      <w:r w:rsidRPr="008F2CB2">
        <w:rPr>
          <w:rFonts w:asciiTheme="minorHAnsi" w:hAnsiTheme="minorHAnsi" w:cs="Calibri"/>
          <w:szCs w:val="24"/>
        </w:rPr>
        <w:t>.</w:t>
      </w:r>
      <w:r w:rsidR="00692512">
        <w:rPr>
          <w:rFonts w:asciiTheme="minorHAnsi" w:hAnsiTheme="minorHAnsi" w:cs="Calibri"/>
          <w:szCs w:val="24"/>
        </w:rPr>
        <w:t>”</w:t>
      </w:r>
      <w:r w:rsidR="00692512" w:rsidRPr="008F2CB2">
        <w:rPr>
          <w:rStyle w:val="FootnoteReference"/>
          <w:rFonts w:asciiTheme="minorHAnsi" w:hAnsiTheme="minorHAnsi" w:cs="Calibri"/>
          <w:szCs w:val="24"/>
        </w:rPr>
        <w:footnoteReference w:id="23"/>
      </w:r>
    </w:p>
    <w:p w14:paraId="3E5DA1DE" w14:textId="77777777" w:rsidR="00620D9A" w:rsidRDefault="00620D9A" w:rsidP="004568B5">
      <w:pPr>
        <w:ind w:left="547"/>
        <w:jc w:val="center"/>
        <w:rPr>
          <w:rFonts w:asciiTheme="minorHAnsi" w:hAnsiTheme="minorHAnsi"/>
          <w:color w:val="000000" w:themeColor="text1"/>
          <w:szCs w:val="24"/>
        </w:rPr>
      </w:pPr>
      <w:r>
        <w:rPr>
          <w:rFonts w:asciiTheme="minorHAnsi" w:hAnsiTheme="minorHAnsi"/>
          <w:noProof/>
          <w:color w:val="000000" w:themeColor="text1"/>
          <w:szCs w:val="24"/>
        </w:rPr>
        <w:drawing>
          <wp:inline distT="0" distB="0" distL="0" distR="0" wp14:anchorId="1F4E069A" wp14:editId="0F600AA1">
            <wp:extent cx="3878580" cy="2896297"/>
            <wp:effectExtent l="19050" t="19050" r="2667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ment Kil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4354" cy="2908076"/>
                    </a:xfrm>
                    <a:prstGeom prst="rect">
                      <a:avLst/>
                    </a:prstGeom>
                    <a:ln w="3175">
                      <a:solidFill>
                        <a:schemeClr val="tx1"/>
                      </a:solidFill>
                    </a:ln>
                  </pic:spPr>
                </pic:pic>
              </a:graphicData>
            </a:graphic>
          </wp:inline>
        </w:drawing>
      </w:r>
    </w:p>
    <w:p w14:paraId="2917A754" w14:textId="77777777" w:rsidR="00620D9A" w:rsidRPr="009100F4" w:rsidRDefault="001331CA" w:rsidP="001331CA">
      <w:pPr>
        <w:pStyle w:val="Caption"/>
        <w:jc w:val="center"/>
        <w:rPr>
          <w:rFonts w:asciiTheme="minorHAnsi" w:hAnsiTheme="minorHAnsi"/>
          <w:i w:val="0"/>
          <w:color w:val="auto"/>
          <w:sz w:val="22"/>
          <w:szCs w:val="22"/>
        </w:rPr>
      </w:pPr>
      <w:bookmarkStart w:id="44" w:name="_Toc491350009"/>
      <w:r w:rsidRPr="001331CA">
        <w:rPr>
          <w:b/>
          <w:i w:val="0"/>
          <w:color w:val="000000" w:themeColor="text1"/>
          <w:sz w:val="22"/>
          <w:szCs w:val="22"/>
        </w:rPr>
        <w:t xml:space="preserve">Figure </w:t>
      </w:r>
      <w:r w:rsidRPr="001331CA">
        <w:rPr>
          <w:b/>
          <w:i w:val="0"/>
          <w:color w:val="000000" w:themeColor="text1"/>
          <w:sz w:val="22"/>
          <w:szCs w:val="22"/>
        </w:rPr>
        <w:fldChar w:fldCharType="begin"/>
      </w:r>
      <w:r w:rsidRPr="001331CA">
        <w:rPr>
          <w:b/>
          <w:i w:val="0"/>
          <w:color w:val="000000" w:themeColor="text1"/>
          <w:sz w:val="22"/>
          <w:szCs w:val="22"/>
        </w:rPr>
        <w:instrText xml:space="preserve"> SEQ Figure \* ARABIC </w:instrText>
      </w:r>
      <w:r w:rsidRPr="001331CA">
        <w:rPr>
          <w:b/>
          <w:i w:val="0"/>
          <w:color w:val="000000" w:themeColor="text1"/>
          <w:sz w:val="22"/>
          <w:szCs w:val="22"/>
        </w:rPr>
        <w:fldChar w:fldCharType="separate"/>
      </w:r>
      <w:r w:rsidRPr="001331CA">
        <w:rPr>
          <w:b/>
          <w:i w:val="0"/>
          <w:noProof/>
          <w:color w:val="000000" w:themeColor="text1"/>
          <w:sz w:val="22"/>
          <w:szCs w:val="22"/>
        </w:rPr>
        <w:t>7</w:t>
      </w:r>
      <w:r w:rsidRPr="001331CA">
        <w:rPr>
          <w:b/>
          <w:i w:val="0"/>
          <w:color w:val="000000" w:themeColor="text1"/>
          <w:sz w:val="22"/>
          <w:szCs w:val="22"/>
        </w:rPr>
        <w:fldChar w:fldCharType="end"/>
      </w:r>
      <w:r w:rsidRPr="001331CA">
        <w:rPr>
          <w:color w:val="000000" w:themeColor="text1"/>
        </w:rPr>
        <w:t xml:space="preserve">  </w:t>
      </w:r>
      <w:r w:rsidR="00620D9A" w:rsidRPr="009100F4">
        <w:rPr>
          <w:rFonts w:asciiTheme="minorHAnsi" w:hAnsiTheme="minorHAnsi"/>
          <w:b/>
          <w:i w:val="0"/>
          <w:color w:val="auto"/>
          <w:sz w:val="22"/>
          <w:szCs w:val="22"/>
        </w:rPr>
        <w:t xml:space="preserve">Components of a </w:t>
      </w:r>
      <w:r w:rsidR="00620D9A" w:rsidRPr="009100F4">
        <w:rPr>
          <w:rFonts w:asciiTheme="minorHAnsi" w:hAnsiTheme="minorHAnsi" w:cs="Arial"/>
          <w:b/>
          <w:i w:val="0"/>
          <w:color w:val="auto"/>
          <w:sz w:val="22"/>
          <w:szCs w:val="22"/>
          <w:shd w:val="clear" w:color="auto" w:fill="FFFFFF"/>
        </w:rPr>
        <w:t xml:space="preserve">Dry Process </w:t>
      </w:r>
      <w:proofErr w:type="spellStart"/>
      <w:r w:rsidR="00620D9A" w:rsidRPr="009100F4">
        <w:rPr>
          <w:rFonts w:asciiTheme="minorHAnsi" w:hAnsiTheme="minorHAnsi"/>
          <w:b/>
          <w:i w:val="0"/>
          <w:color w:val="auto"/>
          <w:sz w:val="22"/>
          <w:szCs w:val="22"/>
        </w:rPr>
        <w:t>Precalciner</w:t>
      </w:r>
      <w:proofErr w:type="spellEnd"/>
      <w:r w:rsidR="00620D9A" w:rsidRPr="009100F4">
        <w:rPr>
          <w:rFonts w:asciiTheme="minorHAnsi" w:hAnsiTheme="minorHAnsi"/>
          <w:b/>
          <w:i w:val="0"/>
          <w:color w:val="auto"/>
          <w:sz w:val="22"/>
          <w:szCs w:val="22"/>
        </w:rPr>
        <w:t xml:space="preserve"> Cement Kiln</w:t>
      </w:r>
      <w:r>
        <w:rPr>
          <w:rFonts w:asciiTheme="minorHAnsi" w:hAnsiTheme="minorHAnsi"/>
          <w:b/>
          <w:i w:val="0"/>
          <w:color w:val="auto"/>
          <w:sz w:val="22"/>
          <w:szCs w:val="22"/>
        </w:rPr>
        <w:fldChar w:fldCharType="begin"/>
      </w:r>
      <w:r>
        <w:instrText xml:space="preserve"> XE "</w:instrText>
      </w:r>
      <w:r w:rsidRPr="001331CA">
        <w:rPr>
          <w:b/>
          <w:i w:val="0"/>
          <w:color w:val="000000" w:themeColor="text1"/>
          <w:sz w:val="22"/>
          <w:szCs w:val="22"/>
        </w:rPr>
        <w:instrText xml:space="preserve">Figure </w:instrText>
      </w:r>
      <w:r w:rsidRPr="001331CA">
        <w:rPr>
          <w:b/>
          <w:i w:val="0"/>
          <w:noProof/>
          <w:color w:val="000000" w:themeColor="text1"/>
          <w:sz w:val="22"/>
          <w:szCs w:val="22"/>
        </w:rPr>
        <w:instrText>7</w:instrText>
      </w:r>
      <w:r w:rsidRPr="001331CA">
        <w:rPr>
          <w:color w:val="000000" w:themeColor="text1"/>
        </w:rPr>
        <w:instrText xml:space="preserve">  </w:instrText>
      </w:r>
      <w:r w:rsidRPr="001331CA">
        <w:rPr>
          <w:rFonts w:asciiTheme="minorHAnsi" w:hAnsiTheme="minorHAnsi"/>
          <w:b/>
          <w:i w:val="0"/>
          <w:color w:val="auto"/>
          <w:sz w:val="22"/>
          <w:szCs w:val="22"/>
        </w:rPr>
        <w:instrText xml:space="preserve">Components of a </w:instrText>
      </w:r>
      <w:r w:rsidRPr="001331CA">
        <w:rPr>
          <w:rFonts w:asciiTheme="minorHAnsi" w:hAnsiTheme="minorHAnsi" w:cs="Arial"/>
          <w:b/>
          <w:i w:val="0"/>
          <w:color w:val="auto"/>
          <w:sz w:val="22"/>
          <w:szCs w:val="22"/>
          <w:shd w:val="clear" w:color="auto" w:fill="FFFFFF"/>
        </w:rPr>
        <w:instrText xml:space="preserve">Dry Process </w:instrText>
      </w:r>
      <w:r w:rsidRPr="001331CA">
        <w:rPr>
          <w:rFonts w:asciiTheme="minorHAnsi" w:hAnsiTheme="minorHAnsi"/>
          <w:b/>
          <w:i w:val="0"/>
          <w:color w:val="auto"/>
          <w:sz w:val="22"/>
          <w:szCs w:val="22"/>
        </w:rPr>
        <w:instrText>Precalciner Cement Kiln</w:instrText>
      </w:r>
      <w:r>
        <w:instrText xml:space="preserve">" </w:instrText>
      </w:r>
      <w:r>
        <w:rPr>
          <w:rFonts w:asciiTheme="minorHAnsi" w:hAnsiTheme="minorHAnsi"/>
          <w:b/>
          <w:i w:val="0"/>
          <w:color w:val="auto"/>
          <w:sz w:val="22"/>
          <w:szCs w:val="22"/>
        </w:rPr>
        <w:fldChar w:fldCharType="end"/>
      </w:r>
      <w:r w:rsidR="00620D9A" w:rsidRPr="009100F4">
        <w:rPr>
          <w:rStyle w:val="FootnoteReference"/>
          <w:rFonts w:asciiTheme="minorHAnsi" w:hAnsiTheme="minorHAnsi"/>
          <w:b/>
          <w:i w:val="0"/>
          <w:color w:val="auto"/>
          <w:sz w:val="22"/>
          <w:szCs w:val="22"/>
        </w:rPr>
        <w:footnoteReference w:id="24"/>
      </w:r>
      <w:bookmarkEnd w:id="44"/>
    </w:p>
    <w:p w14:paraId="0B7B07A7" w14:textId="77777777" w:rsidR="00166123" w:rsidRPr="008F2CB2" w:rsidRDefault="00620D9A" w:rsidP="00620D9A">
      <w:pPr>
        <w:autoSpaceDE w:val="0"/>
        <w:autoSpaceDN w:val="0"/>
        <w:adjustRightInd w:val="0"/>
        <w:spacing w:after="120"/>
        <w:ind w:left="360"/>
        <w:rPr>
          <w:rFonts w:asciiTheme="minorHAnsi" w:hAnsiTheme="minorHAnsi"/>
          <w:szCs w:val="24"/>
        </w:rPr>
      </w:pPr>
      <w:r>
        <w:rPr>
          <w:rFonts w:asciiTheme="minorHAnsi" w:hAnsiTheme="minorHAnsi" w:cs="Calibri"/>
          <w:szCs w:val="24"/>
        </w:rPr>
        <w:lastRenderedPageBreak/>
        <w:t xml:space="preserve"> </w:t>
      </w:r>
      <w:r w:rsidR="00692512">
        <w:rPr>
          <w:rFonts w:asciiTheme="minorHAnsi" w:hAnsiTheme="minorHAnsi" w:cs="Calibri"/>
          <w:szCs w:val="24"/>
        </w:rPr>
        <w:t>“</w:t>
      </w:r>
      <w:r w:rsidR="00166123" w:rsidRPr="008F2CB2">
        <w:rPr>
          <w:rFonts w:asciiTheme="minorHAnsi" w:hAnsiTheme="minorHAnsi" w:cs="Calibri"/>
          <w:szCs w:val="24"/>
        </w:rPr>
        <w:t>Thermal NOx is the primary form of NOx emissions in cement manufacturing because of the high temperatures and oxidizing conditions required for fuel combustion and clinker</w:t>
      </w:r>
      <w:r w:rsidR="0065787E">
        <w:rPr>
          <w:rFonts w:asciiTheme="minorHAnsi" w:hAnsiTheme="minorHAnsi" w:cs="Calibri"/>
          <w:szCs w:val="24"/>
        </w:rPr>
        <w:t xml:space="preserve"> </w:t>
      </w:r>
      <w:r w:rsidR="00166123" w:rsidRPr="008F2CB2">
        <w:rPr>
          <w:rFonts w:asciiTheme="minorHAnsi" w:hAnsiTheme="minorHAnsi" w:cs="Calibri"/>
          <w:szCs w:val="24"/>
        </w:rPr>
        <w:t xml:space="preserve">formation. The NOx controls employed in cement plants include LNBs, mid-kiln system firing, staged combustion in the </w:t>
      </w:r>
      <w:proofErr w:type="spellStart"/>
      <w:r w:rsidR="00166123" w:rsidRPr="008F2CB2">
        <w:rPr>
          <w:rFonts w:asciiTheme="minorHAnsi" w:hAnsiTheme="minorHAnsi" w:cs="Calibri"/>
          <w:szCs w:val="24"/>
        </w:rPr>
        <w:t>calciner</w:t>
      </w:r>
      <w:proofErr w:type="spellEnd"/>
      <w:r w:rsidR="00166123" w:rsidRPr="008F2CB2">
        <w:rPr>
          <w:rFonts w:asciiTheme="minorHAnsi" w:hAnsiTheme="minorHAnsi" w:cs="Calibri"/>
          <w:szCs w:val="24"/>
        </w:rPr>
        <w:t xml:space="preserve"> (SCC), SNCR</w:t>
      </w:r>
      <w:r w:rsidR="00AF3B28">
        <w:rPr>
          <w:rFonts w:asciiTheme="minorHAnsi" w:hAnsiTheme="minorHAnsi" w:cs="Calibri"/>
          <w:szCs w:val="24"/>
        </w:rPr>
        <w:t xml:space="preserve"> and SCR, as di</w:t>
      </w:r>
      <w:r w:rsidR="00EE744F">
        <w:rPr>
          <w:rFonts w:asciiTheme="minorHAnsi" w:hAnsiTheme="minorHAnsi" w:cs="Calibri"/>
          <w:szCs w:val="24"/>
        </w:rPr>
        <w:t>s</w:t>
      </w:r>
      <w:r w:rsidR="00AF3B28">
        <w:rPr>
          <w:rFonts w:asciiTheme="minorHAnsi" w:hAnsiTheme="minorHAnsi" w:cs="Calibri"/>
          <w:szCs w:val="24"/>
        </w:rPr>
        <w:t>cussed below.</w:t>
      </w:r>
    </w:p>
    <w:p w14:paraId="09E145BF" w14:textId="77777777" w:rsidR="00C56BD5" w:rsidRDefault="009B0A67" w:rsidP="008B38B5">
      <w:pPr>
        <w:pStyle w:val="Heading3"/>
      </w:pPr>
      <w:bookmarkStart w:id="45" w:name="_Toc491349935"/>
      <w:bookmarkEnd w:id="40"/>
      <w:r>
        <w:t>Existing</w:t>
      </w:r>
      <w:r w:rsidR="00180B60">
        <w:t xml:space="preserve"> </w:t>
      </w:r>
      <w:r w:rsidR="00C56BD5">
        <w:t>NOx Emissions Control</w:t>
      </w:r>
      <w:bookmarkEnd w:id="45"/>
      <w:r w:rsidR="009F1025">
        <w:t xml:space="preserve"> </w:t>
      </w:r>
    </w:p>
    <w:p w14:paraId="298E770D" w14:textId="1EDAD2C5" w:rsidR="00180B60" w:rsidRPr="002E0143" w:rsidRDefault="006572D0" w:rsidP="00C97A80">
      <w:pPr>
        <w:spacing w:after="60" w:line="256" w:lineRule="auto"/>
        <w:ind w:left="360"/>
      </w:pPr>
      <w:r w:rsidRPr="000B3181">
        <w:rPr>
          <w:rFonts w:asciiTheme="minorHAnsi" w:hAnsiTheme="minorHAnsi" w:cs="Calibri"/>
          <w:szCs w:val="24"/>
        </w:rPr>
        <w:t xml:space="preserve">EPA’s </w:t>
      </w:r>
      <w:r w:rsidR="000B3181" w:rsidRPr="000B3181">
        <w:rPr>
          <w:rFonts w:asciiTheme="minorHAnsi" w:hAnsiTheme="minorHAnsi" w:cs="Calibri"/>
          <w:szCs w:val="24"/>
        </w:rPr>
        <w:t xml:space="preserve">2007 </w:t>
      </w:r>
      <w:r w:rsidR="00547B43">
        <w:rPr>
          <w:rFonts w:asciiTheme="minorHAnsi" w:hAnsiTheme="minorHAnsi" w:cs="Calibri"/>
          <w:szCs w:val="24"/>
        </w:rPr>
        <w:t>ACT</w:t>
      </w:r>
      <w:r w:rsidRPr="000B3181">
        <w:rPr>
          <w:rFonts w:asciiTheme="minorHAnsi" w:hAnsiTheme="minorHAnsi" w:cs="Calibri"/>
          <w:szCs w:val="24"/>
        </w:rPr>
        <w:t xml:space="preserve"> Update on NOx </w:t>
      </w:r>
      <w:r w:rsidR="009B0A67">
        <w:rPr>
          <w:rFonts w:asciiTheme="minorHAnsi" w:hAnsiTheme="minorHAnsi" w:cs="Calibri"/>
          <w:szCs w:val="24"/>
        </w:rPr>
        <w:t>E</w:t>
      </w:r>
      <w:r w:rsidRPr="000B3181">
        <w:rPr>
          <w:rFonts w:asciiTheme="minorHAnsi" w:hAnsiTheme="minorHAnsi" w:cs="Calibri"/>
          <w:szCs w:val="24"/>
        </w:rPr>
        <w:t xml:space="preserve">missions from </w:t>
      </w:r>
      <w:r w:rsidR="009B0A67">
        <w:rPr>
          <w:rFonts w:asciiTheme="minorHAnsi" w:hAnsiTheme="minorHAnsi" w:cs="Calibri"/>
          <w:szCs w:val="24"/>
        </w:rPr>
        <w:t>C</w:t>
      </w:r>
      <w:r w:rsidRPr="000B3181">
        <w:rPr>
          <w:rFonts w:asciiTheme="minorHAnsi" w:hAnsiTheme="minorHAnsi" w:cs="Calibri"/>
          <w:szCs w:val="24"/>
        </w:rPr>
        <w:t xml:space="preserve">ement </w:t>
      </w:r>
      <w:r w:rsidR="009B0A67">
        <w:rPr>
          <w:rFonts w:asciiTheme="minorHAnsi" w:hAnsiTheme="minorHAnsi" w:cs="Calibri"/>
          <w:szCs w:val="24"/>
        </w:rPr>
        <w:t>K</w:t>
      </w:r>
      <w:r w:rsidRPr="000B3181">
        <w:rPr>
          <w:rFonts w:asciiTheme="minorHAnsi" w:hAnsiTheme="minorHAnsi" w:cs="Calibri"/>
          <w:szCs w:val="24"/>
        </w:rPr>
        <w:t xml:space="preserve">ilns </w:t>
      </w:r>
      <w:r w:rsidR="004A0FD1" w:rsidRPr="000B3181">
        <w:rPr>
          <w:rFonts w:asciiTheme="minorHAnsi" w:hAnsiTheme="minorHAnsi" w:cs="Calibri"/>
          <w:szCs w:val="24"/>
        </w:rPr>
        <w:t>addresses</w:t>
      </w:r>
      <w:r w:rsidR="00607ABC" w:rsidRPr="000B3181">
        <w:rPr>
          <w:rFonts w:asciiTheme="minorHAnsi" w:hAnsiTheme="minorHAnsi" w:cs="Calibri"/>
          <w:szCs w:val="24"/>
        </w:rPr>
        <w:t xml:space="preserve"> the</w:t>
      </w:r>
      <w:r w:rsidR="004A0FD1" w:rsidRPr="000B3181">
        <w:rPr>
          <w:rFonts w:asciiTheme="minorHAnsi" w:hAnsiTheme="minorHAnsi" w:cs="Calibri"/>
          <w:szCs w:val="24"/>
        </w:rPr>
        <w:t xml:space="preserve"> </w:t>
      </w:r>
      <w:r w:rsidR="00607ABC" w:rsidRPr="000B3181">
        <w:rPr>
          <w:rFonts w:asciiTheme="minorHAnsi" w:hAnsiTheme="minorHAnsi" w:cs="Calibri"/>
          <w:szCs w:val="24"/>
        </w:rPr>
        <w:t xml:space="preserve">practices of and </w:t>
      </w:r>
      <w:r w:rsidR="004A0FD1" w:rsidRPr="000B3181">
        <w:rPr>
          <w:rFonts w:asciiTheme="minorHAnsi" w:hAnsiTheme="minorHAnsi" w:cs="Calibri"/>
          <w:szCs w:val="24"/>
        </w:rPr>
        <w:t>NOx controls for new cement kilns</w:t>
      </w:r>
      <w:r w:rsidR="00607ABC" w:rsidRPr="000B3181">
        <w:rPr>
          <w:rFonts w:asciiTheme="minorHAnsi" w:hAnsiTheme="minorHAnsi" w:cs="Calibri"/>
          <w:szCs w:val="24"/>
        </w:rPr>
        <w:t xml:space="preserve"> (i.e.</w:t>
      </w:r>
      <w:r w:rsidR="004A0FD1" w:rsidRPr="000B3181">
        <w:rPr>
          <w:rFonts w:asciiTheme="minorHAnsi" w:hAnsiTheme="minorHAnsi" w:cs="Calibri"/>
          <w:szCs w:val="24"/>
        </w:rPr>
        <w:t xml:space="preserve"> </w:t>
      </w:r>
      <w:r w:rsidRPr="000B3181">
        <w:rPr>
          <w:rFonts w:asciiTheme="minorHAnsi" w:hAnsiTheme="minorHAnsi" w:cs="Calibri"/>
          <w:szCs w:val="24"/>
        </w:rPr>
        <w:t xml:space="preserve">only PH/PC kilns </w:t>
      </w:r>
      <w:r w:rsidR="000B3181" w:rsidRPr="000B3181">
        <w:rPr>
          <w:rFonts w:asciiTheme="minorHAnsi" w:hAnsiTheme="minorHAnsi" w:cs="Calibri"/>
          <w:szCs w:val="24"/>
        </w:rPr>
        <w:t>since</w:t>
      </w:r>
      <w:r w:rsidRPr="000B3181">
        <w:rPr>
          <w:rFonts w:asciiTheme="minorHAnsi" w:hAnsiTheme="minorHAnsi" w:cs="Calibri"/>
          <w:szCs w:val="24"/>
        </w:rPr>
        <w:t xml:space="preserve"> these are the only </w:t>
      </w:r>
      <w:r w:rsidR="000B3181" w:rsidRPr="000B3181">
        <w:rPr>
          <w:rFonts w:asciiTheme="minorHAnsi" w:hAnsiTheme="minorHAnsi" w:cs="Calibri"/>
          <w:szCs w:val="24"/>
        </w:rPr>
        <w:t>kind</w:t>
      </w:r>
      <w:r w:rsidRPr="000B3181">
        <w:rPr>
          <w:rFonts w:asciiTheme="minorHAnsi" w:hAnsiTheme="minorHAnsi" w:cs="Calibri"/>
          <w:szCs w:val="24"/>
        </w:rPr>
        <w:t xml:space="preserve"> expected to be built in the future</w:t>
      </w:r>
      <w:r w:rsidR="00607ABC" w:rsidRPr="000B3181">
        <w:rPr>
          <w:rFonts w:asciiTheme="minorHAnsi" w:hAnsiTheme="minorHAnsi" w:cs="Calibri"/>
          <w:szCs w:val="24"/>
        </w:rPr>
        <w:t>, instead of</w:t>
      </w:r>
      <w:r w:rsidRPr="000B3181">
        <w:rPr>
          <w:rFonts w:asciiTheme="minorHAnsi" w:hAnsiTheme="minorHAnsi" w:cs="Calibri"/>
          <w:szCs w:val="24"/>
        </w:rPr>
        <w:t xml:space="preserve"> wet and long dry kilns)</w:t>
      </w:r>
      <w:r w:rsidR="000B3181" w:rsidRPr="000B3181">
        <w:rPr>
          <w:rStyle w:val="FootnoteReference"/>
          <w:rFonts w:asciiTheme="minorHAnsi" w:hAnsiTheme="minorHAnsi" w:cs="Calibri"/>
          <w:szCs w:val="24"/>
        </w:rPr>
        <w:footnoteReference w:id="25"/>
      </w:r>
      <w:r w:rsidR="00607ABC" w:rsidRPr="000B3181">
        <w:rPr>
          <w:rFonts w:asciiTheme="minorHAnsi" w:hAnsiTheme="minorHAnsi" w:cs="Calibri"/>
          <w:szCs w:val="24"/>
        </w:rPr>
        <w:t xml:space="preserve">. This </w:t>
      </w:r>
      <w:r w:rsidR="009B0A67">
        <w:rPr>
          <w:rFonts w:asciiTheme="minorHAnsi" w:hAnsiTheme="minorHAnsi" w:cs="Calibri"/>
          <w:szCs w:val="24"/>
        </w:rPr>
        <w:t xml:space="preserve">Cement </w:t>
      </w:r>
      <w:r w:rsidR="00607ABC" w:rsidRPr="000B3181">
        <w:rPr>
          <w:rFonts w:asciiTheme="minorHAnsi" w:hAnsiTheme="minorHAnsi" w:cs="Calibri"/>
          <w:szCs w:val="24"/>
        </w:rPr>
        <w:t>ACT</w:t>
      </w:r>
      <w:r w:rsidR="004A0FD1" w:rsidRPr="000B3181">
        <w:rPr>
          <w:rFonts w:asciiTheme="minorHAnsi" w:hAnsiTheme="minorHAnsi" w:cs="Calibri"/>
          <w:szCs w:val="24"/>
        </w:rPr>
        <w:t xml:space="preserve"> focuses</w:t>
      </w:r>
      <w:r w:rsidRPr="000B3181">
        <w:rPr>
          <w:rFonts w:asciiTheme="minorHAnsi" w:hAnsiTheme="minorHAnsi" w:cs="Calibri"/>
          <w:szCs w:val="24"/>
        </w:rPr>
        <w:t xml:space="preserve"> </w:t>
      </w:r>
      <w:r w:rsidR="004A0FD1" w:rsidRPr="000B3181">
        <w:rPr>
          <w:rFonts w:asciiTheme="minorHAnsi" w:hAnsiTheme="minorHAnsi" w:cs="Calibri"/>
          <w:szCs w:val="24"/>
        </w:rPr>
        <w:t xml:space="preserve">specifically on staged combustion in the </w:t>
      </w:r>
      <w:proofErr w:type="spellStart"/>
      <w:r w:rsidR="004A0FD1" w:rsidRPr="000B3181">
        <w:rPr>
          <w:rFonts w:asciiTheme="minorHAnsi" w:hAnsiTheme="minorHAnsi" w:cs="Calibri"/>
          <w:szCs w:val="24"/>
        </w:rPr>
        <w:t>calciner</w:t>
      </w:r>
      <w:proofErr w:type="spellEnd"/>
      <w:r w:rsidR="004A0FD1" w:rsidRPr="000B3181">
        <w:rPr>
          <w:rFonts w:asciiTheme="minorHAnsi" w:hAnsiTheme="minorHAnsi" w:cs="Calibri"/>
          <w:szCs w:val="24"/>
        </w:rPr>
        <w:t xml:space="preserve"> (SCC), selective </w:t>
      </w:r>
      <w:proofErr w:type="spellStart"/>
      <w:r w:rsidR="004A0FD1" w:rsidRPr="000B3181">
        <w:rPr>
          <w:rFonts w:asciiTheme="minorHAnsi" w:hAnsiTheme="minorHAnsi" w:cs="Calibri"/>
          <w:szCs w:val="24"/>
        </w:rPr>
        <w:t>noncatalytic</w:t>
      </w:r>
      <w:proofErr w:type="spellEnd"/>
      <w:r w:rsidR="004A0FD1" w:rsidRPr="000B3181">
        <w:rPr>
          <w:rFonts w:asciiTheme="minorHAnsi" w:hAnsiTheme="minorHAnsi" w:cs="Calibri"/>
          <w:szCs w:val="24"/>
        </w:rPr>
        <w:t xml:space="preserve"> reduction</w:t>
      </w:r>
      <w:r w:rsidRPr="000B3181">
        <w:rPr>
          <w:rFonts w:asciiTheme="minorHAnsi" w:hAnsiTheme="minorHAnsi" w:cs="Calibri"/>
          <w:szCs w:val="24"/>
        </w:rPr>
        <w:t xml:space="preserve"> </w:t>
      </w:r>
      <w:r w:rsidR="004A0FD1" w:rsidRPr="000B3181">
        <w:rPr>
          <w:rFonts w:asciiTheme="minorHAnsi" w:hAnsiTheme="minorHAnsi" w:cs="Calibri"/>
          <w:szCs w:val="24"/>
        </w:rPr>
        <w:t xml:space="preserve">(SNCR), and selective catalytic reduction (SCR) as processes </w:t>
      </w:r>
      <w:r w:rsidR="00607ABC" w:rsidRPr="000B3181">
        <w:rPr>
          <w:rFonts w:asciiTheme="minorHAnsi" w:hAnsiTheme="minorHAnsi" w:cs="Calibri"/>
          <w:szCs w:val="24"/>
        </w:rPr>
        <w:t>to</w:t>
      </w:r>
      <w:r w:rsidR="004A0FD1" w:rsidRPr="000B3181">
        <w:rPr>
          <w:rFonts w:asciiTheme="minorHAnsi" w:hAnsiTheme="minorHAnsi" w:cs="Calibri"/>
          <w:szCs w:val="24"/>
        </w:rPr>
        <w:t xml:space="preserve"> control NOx</w:t>
      </w:r>
      <w:r w:rsidR="00607ABC" w:rsidRPr="000B3181">
        <w:rPr>
          <w:rFonts w:asciiTheme="minorHAnsi" w:hAnsiTheme="minorHAnsi" w:cs="Calibri"/>
          <w:szCs w:val="24"/>
        </w:rPr>
        <w:t xml:space="preserve"> emissions</w:t>
      </w:r>
      <w:r w:rsidR="004A0FD1" w:rsidRPr="000B3181">
        <w:rPr>
          <w:rFonts w:asciiTheme="minorHAnsi" w:hAnsiTheme="minorHAnsi" w:cs="Calibri"/>
          <w:szCs w:val="24"/>
        </w:rPr>
        <w:t xml:space="preserve">. </w:t>
      </w:r>
      <w:r w:rsidR="00180B60" w:rsidRPr="002E0143">
        <w:t>Regarding uncontrolled NOx emissions</w:t>
      </w:r>
      <w:r w:rsidR="001A4DF9">
        <w:t>,</w:t>
      </w:r>
      <w:r w:rsidR="00180B60" w:rsidRPr="002E0143">
        <w:t xml:space="preserve"> the ACT recommends consideration of the following components as a standard operating practice which is now an integral part of all new PH/PC kiln systems</w:t>
      </w:r>
      <w:r w:rsidR="005419C0">
        <w:rPr>
          <w:rStyle w:val="FootnoteReference"/>
        </w:rPr>
        <w:footnoteReference w:id="26"/>
      </w:r>
      <w:r w:rsidR="001A4DF9">
        <w:t>:</w:t>
      </w:r>
    </w:p>
    <w:p w14:paraId="5979FEF2" w14:textId="77777777" w:rsidR="00180B60" w:rsidRPr="002E0143" w:rsidRDefault="00180B60" w:rsidP="00180B60">
      <w:pPr>
        <w:pStyle w:val="ListParagraph"/>
        <w:numPr>
          <w:ilvl w:val="0"/>
          <w:numId w:val="16"/>
        </w:numPr>
      </w:pPr>
      <w:r w:rsidRPr="002E0143">
        <w:t xml:space="preserve">Combustion zone control of temperature and excess air through </w:t>
      </w:r>
      <w:r>
        <w:t xml:space="preserve">their </w:t>
      </w:r>
      <w:r w:rsidRPr="002E0143">
        <w:t xml:space="preserve">continuous monitoring </w:t>
      </w:r>
    </w:p>
    <w:p w14:paraId="38365FDC" w14:textId="77777777" w:rsidR="00180B60" w:rsidRPr="002E0143" w:rsidRDefault="00180B60" w:rsidP="00180B60">
      <w:pPr>
        <w:pStyle w:val="ListParagraph"/>
        <w:numPr>
          <w:ilvl w:val="0"/>
          <w:numId w:val="16"/>
        </w:numPr>
      </w:pPr>
      <w:r w:rsidRPr="002E0143">
        <w:t>Feed mix composition</w:t>
      </w:r>
    </w:p>
    <w:p w14:paraId="19083B83" w14:textId="77777777" w:rsidR="00180B60" w:rsidRPr="002E0143" w:rsidRDefault="00180B60" w:rsidP="00180B60">
      <w:pPr>
        <w:pStyle w:val="ListParagraph"/>
        <w:numPr>
          <w:ilvl w:val="0"/>
          <w:numId w:val="16"/>
        </w:numPr>
      </w:pPr>
      <w:r w:rsidRPr="002E0143">
        <w:t>Kiln fuel type</w:t>
      </w:r>
    </w:p>
    <w:p w14:paraId="6BDFDA18" w14:textId="77777777" w:rsidR="00180B60" w:rsidRPr="002E0143" w:rsidRDefault="00180B60" w:rsidP="00180B60">
      <w:pPr>
        <w:pStyle w:val="ListParagraph"/>
        <w:numPr>
          <w:ilvl w:val="0"/>
          <w:numId w:val="16"/>
        </w:numPr>
      </w:pPr>
      <w:r w:rsidRPr="002E0143">
        <w:t>Increased thermal efficiency</w:t>
      </w:r>
    </w:p>
    <w:p w14:paraId="05BEABD4" w14:textId="77777777" w:rsidR="00180B60" w:rsidRPr="002E0143" w:rsidRDefault="00180B60" w:rsidP="00180B60">
      <w:pPr>
        <w:pStyle w:val="ListParagraph"/>
        <w:numPr>
          <w:ilvl w:val="0"/>
          <w:numId w:val="16"/>
        </w:numPr>
      </w:pPr>
      <w:r w:rsidRPr="002E0143">
        <w:t>Staged combustion</w:t>
      </w:r>
      <w:r w:rsidR="007556E4">
        <w:t xml:space="preserve"> </w:t>
      </w:r>
      <w:r w:rsidRPr="002E0143">
        <w:t>in kiln</w:t>
      </w:r>
    </w:p>
    <w:p w14:paraId="7ED2A713" w14:textId="77777777" w:rsidR="00180B60" w:rsidRPr="002E0143" w:rsidRDefault="00180B60" w:rsidP="00180B60">
      <w:pPr>
        <w:pStyle w:val="ListParagraph"/>
        <w:numPr>
          <w:ilvl w:val="0"/>
          <w:numId w:val="16"/>
        </w:numPr>
      </w:pPr>
      <w:r w:rsidRPr="002E0143">
        <w:t>Efficient cooler control</w:t>
      </w:r>
    </w:p>
    <w:p w14:paraId="7260738B" w14:textId="77777777" w:rsidR="00180B60" w:rsidRPr="002E0143" w:rsidRDefault="00180B60" w:rsidP="00180B60">
      <w:pPr>
        <w:pStyle w:val="ListParagraph"/>
        <w:numPr>
          <w:ilvl w:val="0"/>
          <w:numId w:val="16"/>
        </w:numPr>
      </w:pPr>
      <w:r w:rsidRPr="002E0143">
        <w:t>Expert control systems</w:t>
      </w:r>
    </w:p>
    <w:p w14:paraId="793D8E35" w14:textId="77777777" w:rsidR="00180B60" w:rsidRPr="002E0143" w:rsidRDefault="00180B60" w:rsidP="00180B60">
      <w:pPr>
        <w:pStyle w:val="ListParagraph"/>
        <w:numPr>
          <w:ilvl w:val="0"/>
          <w:numId w:val="16"/>
        </w:numPr>
      </w:pPr>
      <w:r w:rsidRPr="002E0143">
        <w:t>Low NOx burners in the kiln.</w:t>
      </w:r>
    </w:p>
    <w:p w14:paraId="49858B0D" w14:textId="77777777" w:rsidR="00165578" w:rsidRDefault="005419C0" w:rsidP="008B38B5">
      <w:pPr>
        <w:pStyle w:val="ListParagraph"/>
        <w:spacing w:before="200" w:after="200"/>
        <w:ind w:left="360"/>
        <w:contextualSpacing w:val="0"/>
        <w:rPr>
          <w:szCs w:val="24"/>
        </w:rPr>
      </w:pPr>
      <w:r w:rsidRPr="005419C0">
        <w:t xml:space="preserve">In addition to the process and combustion controls listed, post combustion SNCR or SCR can be considered. </w:t>
      </w:r>
      <w:r w:rsidR="00001478">
        <w:t>Both t</w:t>
      </w:r>
      <w:r w:rsidR="00001478" w:rsidRPr="00C90D75">
        <w:t xml:space="preserve">he </w:t>
      </w:r>
      <w:r w:rsidR="00001478" w:rsidRPr="00001478">
        <w:rPr>
          <w:szCs w:val="24"/>
        </w:rPr>
        <w:t>SCR and SNCR Systems vary widely in their cost effectiveness displaying a median of $</w:t>
      </w:r>
      <w:r w:rsidR="00001478" w:rsidRPr="00001478">
        <w:rPr>
          <w:rFonts w:eastAsia="Times New Roman" w:cs="Times New Roman"/>
          <w:color w:val="000000"/>
          <w:szCs w:val="24"/>
        </w:rPr>
        <w:t>1,800</w:t>
      </w:r>
      <w:r w:rsidR="00001478" w:rsidRPr="00001478">
        <w:rPr>
          <w:szCs w:val="24"/>
        </w:rPr>
        <w:t xml:space="preserve"> and $</w:t>
      </w:r>
      <w:r w:rsidR="00001478" w:rsidRPr="00001478">
        <w:rPr>
          <w:rFonts w:eastAsia="Times New Roman" w:cs="Times New Roman"/>
          <w:color w:val="000000"/>
          <w:szCs w:val="24"/>
        </w:rPr>
        <w:t xml:space="preserve">1,200 respectively </w:t>
      </w:r>
      <w:r w:rsidR="00001478" w:rsidRPr="00001478">
        <w:rPr>
          <w:szCs w:val="24"/>
        </w:rPr>
        <w:t xml:space="preserve">per ton of NOx reduced (Table </w:t>
      </w:r>
      <w:r w:rsidR="000C55B5">
        <w:rPr>
          <w:szCs w:val="24"/>
        </w:rPr>
        <w:t>3</w:t>
      </w:r>
      <w:r w:rsidR="00001478" w:rsidRPr="00001478">
        <w:rPr>
          <w:szCs w:val="24"/>
        </w:rPr>
        <w:t>).  The median cost of a ton of clinker for SCR systems is twice that for SNCR systems (Table</w:t>
      </w:r>
      <w:r w:rsidR="000C55B5">
        <w:rPr>
          <w:szCs w:val="24"/>
        </w:rPr>
        <w:t xml:space="preserve"> 3</w:t>
      </w:r>
      <w:r w:rsidR="00001478" w:rsidRPr="00001478">
        <w:rPr>
          <w:szCs w:val="24"/>
        </w:rPr>
        <w:t>).</w:t>
      </w:r>
    </w:p>
    <w:p w14:paraId="23345F0C" w14:textId="77777777" w:rsidR="00165578" w:rsidRPr="008B7D21" w:rsidRDefault="008B7D21" w:rsidP="008B7D21">
      <w:pPr>
        <w:pStyle w:val="Caption"/>
        <w:spacing w:after="60" w:line="240" w:lineRule="auto"/>
        <w:jc w:val="center"/>
        <w:rPr>
          <w:b/>
          <w:i w:val="0"/>
          <w:color w:val="auto"/>
          <w:sz w:val="22"/>
          <w:szCs w:val="22"/>
        </w:rPr>
      </w:pPr>
      <w:bookmarkStart w:id="46" w:name="_Toc491073912"/>
      <w:r w:rsidRPr="008B7D21">
        <w:rPr>
          <w:b/>
          <w:i w:val="0"/>
          <w:color w:val="000000" w:themeColor="text1"/>
          <w:sz w:val="22"/>
          <w:szCs w:val="22"/>
        </w:rPr>
        <w:t xml:space="preserve">Table </w:t>
      </w:r>
      <w:r w:rsidR="00190587" w:rsidRPr="008B7D21">
        <w:rPr>
          <w:b/>
          <w:i w:val="0"/>
          <w:color w:val="000000" w:themeColor="text1"/>
          <w:sz w:val="22"/>
          <w:szCs w:val="22"/>
        </w:rPr>
        <w:fldChar w:fldCharType="begin"/>
      </w:r>
      <w:r w:rsidRPr="008B7D21">
        <w:rPr>
          <w:b/>
          <w:i w:val="0"/>
          <w:color w:val="000000" w:themeColor="text1"/>
          <w:sz w:val="22"/>
          <w:szCs w:val="22"/>
        </w:rPr>
        <w:instrText xml:space="preserve"> SEQ Table \* ARABIC </w:instrText>
      </w:r>
      <w:r w:rsidR="00190587" w:rsidRPr="008B7D21">
        <w:rPr>
          <w:b/>
          <w:i w:val="0"/>
          <w:color w:val="000000" w:themeColor="text1"/>
          <w:sz w:val="22"/>
          <w:szCs w:val="22"/>
        </w:rPr>
        <w:fldChar w:fldCharType="separate"/>
      </w:r>
      <w:r w:rsidR="006F2830">
        <w:rPr>
          <w:b/>
          <w:i w:val="0"/>
          <w:noProof/>
          <w:color w:val="000000" w:themeColor="text1"/>
          <w:sz w:val="22"/>
          <w:szCs w:val="22"/>
        </w:rPr>
        <w:t>3</w:t>
      </w:r>
      <w:r w:rsidR="00190587" w:rsidRPr="008B7D21">
        <w:rPr>
          <w:b/>
          <w:i w:val="0"/>
          <w:color w:val="000000" w:themeColor="text1"/>
          <w:sz w:val="22"/>
          <w:szCs w:val="22"/>
        </w:rPr>
        <w:fldChar w:fldCharType="end"/>
      </w:r>
      <w:r w:rsidRPr="008B7D21">
        <w:rPr>
          <w:b/>
          <w:i w:val="0"/>
          <w:color w:val="000000" w:themeColor="text1"/>
          <w:sz w:val="22"/>
          <w:szCs w:val="22"/>
        </w:rPr>
        <w:t xml:space="preserve">  </w:t>
      </w:r>
      <w:r w:rsidR="00001478" w:rsidRPr="008B7D21">
        <w:rPr>
          <w:b/>
          <w:i w:val="0"/>
          <w:color w:val="000000" w:themeColor="text1"/>
          <w:sz w:val="22"/>
          <w:szCs w:val="22"/>
        </w:rPr>
        <w:t>Cost Effectiveness and Cost Burden of SNCR and SCR Systems</w:t>
      </w:r>
      <w:r w:rsidR="00001478" w:rsidRPr="008B7D21">
        <w:rPr>
          <w:rStyle w:val="FootnoteReference"/>
          <w:b/>
          <w:i w:val="0"/>
          <w:color w:val="000000" w:themeColor="text1"/>
          <w:sz w:val="22"/>
          <w:szCs w:val="22"/>
        </w:rPr>
        <w:footnoteReference w:id="27"/>
      </w:r>
      <w:bookmarkEnd w:id="46"/>
      <w:r w:rsidR="00190587">
        <w:rPr>
          <w:b/>
          <w:i w:val="0"/>
          <w:color w:val="000000" w:themeColor="text1"/>
          <w:sz w:val="22"/>
          <w:szCs w:val="22"/>
        </w:rPr>
        <w:fldChar w:fldCharType="begin"/>
      </w:r>
      <w:r>
        <w:instrText xml:space="preserve"> XE "</w:instrText>
      </w:r>
      <w:r w:rsidRPr="008B7D21">
        <w:rPr>
          <w:b/>
          <w:i w:val="0"/>
          <w:color w:val="000000" w:themeColor="text1"/>
          <w:sz w:val="22"/>
          <w:szCs w:val="22"/>
        </w:rPr>
        <w:instrText xml:space="preserve">Table </w:instrText>
      </w:r>
      <w:r w:rsidR="000C55B5">
        <w:rPr>
          <w:b/>
          <w:i w:val="0"/>
          <w:noProof/>
          <w:color w:val="000000" w:themeColor="text1"/>
          <w:sz w:val="22"/>
          <w:szCs w:val="22"/>
        </w:rPr>
        <w:instrText>3</w:instrText>
      </w:r>
      <w:r w:rsidR="000C55B5" w:rsidRPr="008B7D21">
        <w:rPr>
          <w:b/>
          <w:i w:val="0"/>
          <w:color w:val="000000" w:themeColor="text1"/>
          <w:sz w:val="22"/>
          <w:szCs w:val="22"/>
        </w:rPr>
        <w:instrText xml:space="preserve">  </w:instrText>
      </w:r>
      <w:r w:rsidRPr="008B7D21">
        <w:rPr>
          <w:b/>
          <w:i w:val="0"/>
          <w:color w:val="000000" w:themeColor="text1"/>
          <w:sz w:val="22"/>
          <w:szCs w:val="22"/>
        </w:rPr>
        <w:instrText>Cost Effectiveness and Cost Burden of SNCR and SCR Systems</w:instrText>
      </w:r>
      <w:r>
        <w:instrText xml:space="preserve">" </w:instrText>
      </w:r>
      <w:r w:rsidR="00190587">
        <w:rPr>
          <w:b/>
          <w:i w:val="0"/>
          <w:color w:val="000000" w:themeColor="text1"/>
          <w:sz w:val="22"/>
          <w:szCs w:val="22"/>
        </w:rPr>
        <w:fldChar w:fldCharType="end"/>
      </w:r>
    </w:p>
    <w:tbl>
      <w:tblPr>
        <w:tblW w:w="6477" w:type="dxa"/>
        <w:jc w:val="center"/>
        <w:tblLook w:val="04A0" w:firstRow="1" w:lastRow="0" w:firstColumn="1" w:lastColumn="0" w:noHBand="0" w:noVBand="1"/>
      </w:tblPr>
      <w:tblGrid>
        <w:gridCol w:w="2970"/>
        <w:gridCol w:w="1890"/>
        <w:gridCol w:w="1617"/>
      </w:tblGrid>
      <w:tr w:rsidR="00001478" w:rsidRPr="00997F12" w14:paraId="5DC7AB33" w14:textId="77777777" w:rsidTr="00001478">
        <w:trPr>
          <w:trHeight w:val="504"/>
          <w:jc w:val="center"/>
        </w:trPr>
        <w:tc>
          <w:tcPr>
            <w:tcW w:w="29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2B2F035C" w14:textId="77777777" w:rsidR="00001478" w:rsidRPr="00997F12" w:rsidRDefault="00001478" w:rsidP="00001478">
            <w:pPr>
              <w:rPr>
                <w:rFonts w:eastAsia="Times New Roman" w:cs="Times New Roman"/>
                <w:b/>
                <w:color w:val="000000"/>
                <w:sz w:val="22"/>
              </w:rPr>
            </w:pPr>
            <w:r w:rsidRPr="00997F12">
              <w:rPr>
                <w:rFonts w:eastAsia="Times New Roman" w:cs="Times New Roman"/>
                <w:b/>
                <w:color w:val="000000"/>
                <w:sz w:val="22"/>
              </w:rPr>
              <w:t xml:space="preserve">Measure of Cost </w:t>
            </w:r>
          </w:p>
        </w:tc>
        <w:tc>
          <w:tcPr>
            <w:tcW w:w="18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45A0BC82" w14:textId="77777777" w:rsidR="00001478" w:rsidRPr="00997F12" w:rsidRDefault="00001478" w:rsidP="00001478">
            <w:pPr>
              <w:rPr>
                <w:rFonts w:eastAsia="Times New Roman" w:cs="Times New Roman"/>
                <w:b/>
                <w:color w:val="000000"/>
                <w:sz w:val="22"/>
              </w:rPr>
            </w:pPr>
            <w:r w:rsidRPr="00997F12">
              <w:rPr>
                <w:rFonts w:eastAsia="Times New Roman" w:cs="Times New Roman"/>
                <w:b/>
                <w:color w:val="000000"/>
                <w:sz w:val="22"/>
              </w:rPr>
              <w:t xml:space="preserve">SNCR System </w:t>
            </w:r>
          </w:p>
        </w:tc>
        <w:tc>
          <w:tcPr>
            <w:tcW w:w="16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426CAA22" w14:textId="77777777" w:rsidR="00001478" w:rsidRPr="00997F12" w:rsidRDefault="00001478" w:rsidP="00001478">
            <w:pPr>
              <w:rPr>
                <w:rFonts w:eastAsia="Times New Roman" w:cs="Times New Roman"/>
                <w:b/>
                <w:color w:val="000000"/>
                <w:sz w:val="22"/>
              </w:rPr>
            </w:pPr>
            <w:r w:rsidRPr="00997F12">
              <w:rPr>
                <w:rFonts w:eastAsia="Times New Roman" w:cs="Times New Roman"/>
                <w:b/>
                <w:color w:val="000000"/>
                <w:sz w:val="22"/>
              </w:rPr>
              <w:t>SCR System</w:t>
            </w:r>
          </w:p>
        </w:tc>
      </w:tr>
      <w:tr w:rsidR="00001478" w:rsidRPr="00997F12" w14:paraId="25192D6D" w14:textId="77777777" w:rsidTr="00001478">
        <w:trPr>
          <w:trHeight w:val="324"/>
          <w:jc w:val="center"/>
        </w:trPr>
        <w:tc>
          <w:tcPr>
            <w:tcW w:w="2970" w:type="dxa"/>
            <w:tcBorders>
              <w:top w:val="single" w:sz="2" w:space="0" w:color="000000" w:themeColor="text1"/>
              <w:left w:val="single" w:sz="2" w:space="0" w:color="000000" w:themeColor="text1"/>
              <w:bottom w:val="nil"/>
              <w:right w:val="single" w:sz="2" w:space="0" w:color="000000" w:themeColor="text1"/>
            </w:tcBorders>
            <w:shd w:val="clear" w:color="auto" w:fill="auto"/>
            <w:noWrap/>
            <w:vAlign w:val="center"/>
            <w:hideMark/>
          </w:tcPr>
          <w:p w14:paraId="4FFF9CFE"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Cost Effectiveness ($/t NOx)</w:t>
            </w:r>
          </w:p>
        </w:tc>
        <w:tc>
          <w:tcPr>
            <w:tcW w:w="1890" w:type="dxa"/>
            <w:tcBorders>
              <w:top w:val="single" w:sz="2" w:space="0" w:color="000000" w:themeColor="text1"/>
              <w:left w:val="single" w:sz="2" w:space="0" w:color="000000" w:themeColor="text1"/>
              <w:bottom w:val="nil"/>
              <w:right w:val="single" w:sz="2" w:space="0" w:color="000000" w:themeColor="text1"/>
            </w:tcBorders>
            <w:shd w:val="clear" w:color="auto" w:fill="auto"/>
            <w:noWrap/>
            <w:vAlign w:val="center"/>
          </w:tcPr>
          <w:p w14:paraId="1C369178" w14:textId="77777777" w:rsidR="00001478" w:rsidRPr="00997F12" w:rsidRDefault="00001478" w:rsidP="00001478">
            <w:pPr>
              <w:rPr>
                <w:rFonts w:eastAsia="Times New Roman" w:cs="Times New Roman"/>
                <w:color w:val="000000"/>
                <w:sz w:val="22"/>
              </w:rPr>
            </w:pPr>
          </w:p>
        </w:tc>
        <w:tc>
          <w:tcPr>
            <w:tcW w:w="1617" w:type="dxa"/>
            <w:tcBorders>
              <w:top w:val="single" w:sz="2" w:space="0" w:color="000000" w:themeColor="text1"/>
              <w:left w:val="single" w:sz="2" w:space="0" w:color="000000" w:themeColor="text1"/>
              <w:bottom w:val="nil"/>
              <w:right w:val="single" w:sz="2" w:space="0" w:color="000000" w:themeColor="text1"/>
            </w:tcBorders>
            <w:shd w:val="clear" w:color="auto" w:fill="auto"/>
            <w:noWrap/>
            <w:vAlign w:val="center"/>
          </w:tcPr>
          <w:p w14:paraId="74777039" w14:textId="77777777" w:rsidR="00001478" w:rsidRPr="00997F12" w:rsidRDefault="00001478" w:rsidP="00001478">
            <w:pPr>
              <w:rPr>
                <w:rFonts w:eastAsia="Times New Roman" w:cs="Times New Roman"/>
                <w:color w:val="000000"/>
                <w:sz w:val="22"/>
              </w:rPr>
            </w:pPr>
          </w:p>
        </w:tc>
      </w:tr>
      <w:tr w:rsidR="00001478" w:rsidRPr="00997F12" w14:paraId="147607B5" w14:textId="77777777" w:rsidTr="00001478">
        <w:trPr>
          <w:trHeight w:val="312"/>
          <w:jc w:val="center"/>
        </w:trPr>
        <w:tc>
          <w:tcPr>
            <w:tcW w:w="2970" w:type="dxa"/>
            <w:tcBorders>
              <w:top w:val="nil"/>
              <w:left w:val="single" w:sz="2" w:space="0" w:color="000000" w:themeColor="text1"/>
              <w:bottom w:val="nil"/>
              <w:right w:val="single" w:sz="2" w:space="0" w:color="000000" w:themeColor="text1"/>
            </w:tcBorders>
            <w:shd w:val="clear" w:color="auto" w:fill="auto"/>
            <w:noWrap/>
            <w:vAlign w:val="center"/>
            <w:hideMark/>
          </w:tcPr>
          <w:p w14:paraId="51F065AB"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Range</w:t>
            </w:r>
          </w:p>
        </w:tc>
        <w:tc>
          <w:tcPr>
            <w:tcW w:w="1890" w:type="dxa"/>
            <w:tcBorders>
              <w:top w:val="nil"/>
              <w:left w:val="single" w:sz="2" w:space="0" w:color="000000" w:themeColor="text1"/>
              <w:bottom w:val="nil"/>
              <w:right w:val="single" w:sz="2" w:space="0" w:color="000000" w:themeColor="text1"/>
            </w:tcBorders>
            <w:shd w:val="clear" w:color="auto" w:fill="auto"/>
            <w:noWrap/>
            <w:vAlign w:val="center"/>
          </w:tcPr>
          <w:p w14:paraId="0E793E5F"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330 to 5,200</w:t>
            </w:r>
          </w:p>
        </w:tc>
        <w:tc>
          <w:tcPr>
            <w:tcW w:w="1617" w:type="dxa"/>
            <w:tcBorders>
              <w:top w:val="nil"/>
              <w:left w:val="single" w:sz="2" w:space="0" w:color="000000" w:themeColor="text1"/>
              <w:bottom w:val="nil"/>
              <w:right w:val="single" w:sz="2" w:space="0" w:color="000000" w:themeColor="text1"/>
            </w:tcBorders>
            <w:shd w:val="clear" w:color="auto" w:fill="auto"/>
            <w:noWrap/>
            <w:vAlign w:val="center"/>
          </w:tcPr>
          <w:p w14:paraId="5C5A6F8B"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480 to 22,000</w:t>
            </w:r>
          </w:p>
        </w:tc>
      </w:tr>
      <w:tr w:rsidR="00001478" w:rsidRPr="00997F12" w14:paraId="685C8245" w14:textId="77777777" w:rsidTr="00001478">
        <w:trPr>
          <w:trHeight w:val="312"/>
          <w:jc w:val="center"/>
        </w:trPr>
        <w:tc>
          <w:tcPr>
            <w:tcW w:w="2970" w:type="dxa"/>
            <w:tcBorders>
              <w:top w:val="nil"/>
              <w:left w:val="single" w:sz="2" w:space="0" w:color="000000" w:themeColor="text1"/>
              <w:bottom w:val="nil"/>
              <w:right w:val="single" w:sz="2" w:space="0" w:color="000000" w:themeColor="text1"/>
            </w:tcBorders>
            <w:shd w:val="clear" w:color="auto" w:fill="auto"/>
            <w:noWrap/>
            <w:vAlign w:val="center"/>
            <w:hideMark/>
          </w:tcPr>
          <w:p w14:paraId="0F1266ED"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lastRenderedPageBreak/>
              <w:t>Mean</w:t>
            </w:r>
          </w:p>
        </w:tc>
        <w:tc>
          <w:tcPr>
            <w:tcW w:w="1890" w:type="dxa"/>
            <w:tcBorders>
              <w:top w:val="nil"/>
              <w:left w:val="single" w:sz="2" w:space="0" w:color="000000" w:themeColor="text1"/>
              <w:bottom w:val="nil"/>
              <w:right w:val="single" w:sz="2" w:space="0" w:color="000000" w:themeColor="text1"/>
            </w:tcBorders>
            <w:shd w:val="clear" w:color="auto" w:fill="auto"/>
            <w:noWrap/>
            <w:vAlign w:val="center"/>
          </w:tcPr>
          <w:p w14:paraId="5003401A"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1,700</w:t>
            </w:r>
          </w:p>
        </w:tc>
        <w:tc>
          <w:tcPr>
            <w:tcW w:w="1617" w:type="dxa"/>
            <w:tcBorders>
              <w:top w:val="nil"/>
              <w:left w:val="single" w:sz="2" w:space="0" w:color="000000" w:themeColor="text1"/>
              <w:bottom w:val="nil"/>
              <w:right w:val="single" w:sz="2" w:space="0" w:color="000000" w:themeColor="text1"/>
            </w:tcBorders>
            <w:shd w:val="clear" w:color="auto" w:fill="auto"/>
            <w:noWrap/>
            <w:vAlign w:val="center"/>
          </w:tcPr>
          <w:p w14:paraId="27BF1384"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4,200</w:t>
            </w:r>
          </w:p>
        </w:tc>
      </w:tr>
      <w:tr w:rsidR="00001478" w:rsidRPr="00997F12" w14:paraId="55207853" w14:textId="77777777" w:rsidTr="00001478">
        <w:trPr>
          <w:trHeight w:val="189"/>
          <w:jc w:val="center"/>
        </w:trPr>
        <w:tc>
          <w:tcPr>
            <w:tcW w:w="2970" w:type="dxa"/>
            <w:tcBorders>
              <w:top w:val="nil"/>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FFE90AB"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Median</w:t>
            </w:r>
          </w:p>
        </w:tc>
        <w:tc>
          <w:tcPr>
            <w:tcW w:w="1890" w:type="dxa"/>
            <w:tcBorders>
              <w:top w:val="nil"/>
              <w:left w:val="single" w:sz="2" w:space="0" w:color="000000" w:themeColor="text1"/>
              <w:bottom w:val="single" w:sz="2" w:space="0" w:color="000000" w:themeColor="text1"/>
              <w:right w:val="single" w:sz="2" w:space="0" w:color="000000" w:themeColor="text1"/>
            </w:tcBorders>
            <w:shd w:val="clear" w:color="auto" w:fill="auto"/>
            <w:noWrap/>
            <w:vAlign w:val="center"/>
          </w:tcPr>
          <w:p w14:paraId="2400D6C6"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1,200</w:t>
            </w:r>
          </w:p>
        </w:tc>
        <w:tc>
          <w:tcPr>
            <w:tcW w:w="1617" w:type="dxa"/>
            <w:tcBorders>
              <w:top w:val="nil"/>
              <w:left w:val="single" w:sz="2" w:space="0" w:color="000000" w:themeColor="text1"/>
              <w:bottom w:val="single" w:sz="2" w:space="0" w:color="000000" w:themeColor="text1"/>
              <w:right w:val="single" w:sz="2" w:space="0" w:color="000000" w:themeColor="text1"/>
            </w:tcBorders>
            <w:shd w:val="clear" w:color="auto" w:fill="auto"/>
            <w:noWrap/>
            <w:vAlign w:val="center"/>
          </w:tcPr>
          <w:p w14:paraId="4F3C3DEC"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1,800</w:t>
            </w:r>
          </w:p>
        </w:tc>
      </w:tr>
      <w:tr w:rsidR="00001478" w:rsidRPr="00997F12" w14:paraId="7FA8FBAD" w14:textId="77777777" w:rsidTr="00001478">
        <w:trPr>
          <w:trHeight w:val="312"/>
          <w:jc w:val="center"/>
        </w:trPr>
        <w:tc>
          <w:tcPr>
            <w:tcW w:w="2970" w:type="dxa"/>
            <w:tcBorders>
              <w:top w:val="single" w:sz="2" w:space="0" w:color="000000" w:themeColor="text1"/>
              <w:left w:val="single" w:sz="2" w:space="0" w:color="000000" w:themeColor="text1"/>
              <w:bottom w:val="nil"/>
              <w:right w:val="single" w:sz="2" w:space="0" w:color="000000" w:themeColor="text1"/>
            </w:tcBorders>
            <w:shd w:val="clear" w:color="auto" w:fill="auto"/>
            <w:noWrap/>
            <w:vAlign w:val="center"/>
            <w:hideMark/>
          </w:tcPr>
          <w:p w14:paraId="59B4F014"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Cost Burden ($/t of clinker)</w:t>
            </w:r>
          </w:p>
        </w:tc>
        <w:tc>
          <w:tcPr>
            <w:tcW w:w="1890" w:type="dxa"/>
            <w:tcBorders>
              <w:top w:val="single" w:sz="2" w:space="0" w:color="000000" w:themeColor="text1"/>
              <w:left w:val="single" w:sz="2" w:space="0" w:color="000000" w:themeColor="text1"/>
              <w:bottom w:val="nil"/>
              <w:right w:val="single" w:sz="2" w:space="0" w:color="000000" w:themeColor="text1"/>
            </w:tcBorders>
            <w:shd w:val="clear" w:color="auto" w:fill="auto"/>
            <w:noWrap/>
            <w:vAlign w:val="center"/>
          </w:tcPr>
          <w:p w14:paraId="0D6B06A3" w14:textId="77777777" w:rsidR="00001478" w:rsidRPr="00997F12" w:rsidRDefault="00001478" w:rsidP="00001478">
            <w:pPr>
              <w:rPr>
                <w:rFonts w:eastAsia="Times New Roman" w:cs="Times New Roman"/>
                <w:color w:val="000000"/>
                <w:sz w:val="22"/>
              </w:rPr>
            </w:pPr>
          </w:p>
        </w:tc>
        <w:tc>
          <w:tcPr>
            <w:tcW w:w="1617" w:type="dxa"/>
            <w:tcBorders>
              <w:top w:val="single" w:sz="2" w:space="0" w:color="000000" w:themeColor="text1"/>
              <w:left w:val="single" w:sz="2" w:space="0" w:color="000000" w:themeColor="text1"/>
              <w:bottom w:val="nil"/>
              <w:right w:val="single" w:sz="2" w:space="0" w:color="000000" w:themeColor="text1"/>
            </w:tcBorders>
            <w:shd w:val="clear" w:color="auto" w:fill="auto"/>
            <w:noWrap/>
            <w:vAlign w:val="center"/>
          </w:tcPr>
          <w:p w14:paraId="5DEA46BF" w14:textId="77777777" w:rsidR="00001478" w:rsidRPr="00997F12" w:rsidRDefault="00001478" w:rsidP="00001478">
            <w:pPr>
              <w:rPr>
                <w:rFonts w:eastAsia="Times New Roman" w:cs="Times New Roman"/>
                <w:color w:val="000000"/>
                <w:sz w:val="22"/>
              </w:rPr>
            </w:pPr>
          </w:p>
        </w:tc>
      </w:tr>
      <w:tr w:rsidR="00001478" w:rsidRPr="00997F12" w14:paraId="424D80AD" w14:textId="77777777" w:rsidTr="00001478">
        <w:trPr>
          <w:trHeight w:val="312"/>
          <w:jc w:val="center"/>
        </w:trPr>
        <w:tc>
          <w:tcPr>
            <w:tcW w:w="2970" w:type="dxa"/>
            <w:tcBorders>
              <w:top w:val="nil"/>
              <w:left w:val="single" w:sz="2" w:space="0" w:color="000000" w:themeColor="text1"/>
              <w:bottom w:val="nil"/>
              <w:right w:val="single" w:sz="2" w:space="0" w:color="000000" w:themeColor="text1"/>
            </w:tcBorders>
            <w:shd w:val="clear" w:color="auto" w:fill="auto"/>
            <w:noWrap/>
            <w:vAlign w:val="center"/>
            <w:hideMark/>
          </w:tcPr>
          <w:p w14:paraId="10CC2A70"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Range</w:t>
            </w:r>
          </w:p>
        </w:tc>
        <w:tc>
          <w:tcPr>
            <w:tcW w:w="1890" w:type="dxa"/>
            <w:tcBorders>
              <w:top w:val="nil"/>
              <w:left w:val="single" w:sz="2" w:space="0" w:color="000000" w:themeColor="text1"/>
              <w:bottom w:val="nil"/>
              <w:right w:val="single" w:sz="2" w:space="0" w:color="000000" w:themeColor="text1"/>
            </w:tcBorders>
            <w:shd w:val="clear" w:color="auto" w:fill="auto"/>
            <w:noWrap/>
            <w:vAlign w:val="center"/>
          </w:tcPr>
          <w:p w14:paraId="0384D7A5"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0.40 to 2.50</w:t>
            </w:r>
          </w:p>
        </w:tc>
        <w:tc>
          <w:tcPr>
            <w:tcW w:w="1617" w:type="dxa"/>
            <w:tcBorders>
              <w:top w:val="nil"/>
              <w:left w:val="single" w:sz="2" w:space="0" w:color="000000" w:themeColor="text1"/>
              <w:bottom w:val="nil"/>
              <w:right w:val="single" w:sz="2" w:space="0" w:color="000000" w:themeColor="text1"/>
            </w:tcBorders>
            <w:shd w:val="clear" w:color="auto" w:fill="auto"/>
            <w:noWrap/>
            <w:vAlign w:val="center"/>
          </w:tcPr>
          <w:p w14:paraId="1A5176F6"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0.60 to 9.10</w:t>
            </w:r>
          </w:p>
        </w:tc>
      </w:tr>
      <w:tr w:rsidR="00001478" w:rsidRPr="00997F12" w14:paraId="19ACEEDE" w14:textId="77777777" w:rsidTr="00001478">
        <w:trPr>
          <w:trHeight w:val="324"/>
          <w:jc w:val="center"/>
        </w:trPr>
        <w:tc>
          <w:tcPr>
            <w:tcW w:w="2970" w:type="dxa"/>
            <w:tcBorders>
              <w:top w:val="nil"/>
              <w:left w:val="single" w:sz="2" w:space="0" w:color="000000" w:themeColor="text1"/>
              <w:bottom w:val="nil"/>
              <w:right w:val="single" w:sz="2" w:space="0" w:color="000000" w:themeColor="text1"/>
            </w:tcBorders>
            <w:shd w:val="clear" w:color="auto" w:fill="auto"/>
            <w:noWrap/>
            <w:vAlign w:val="center"/>
            <w:hideMark/>
          </w:tcPr>
          <w:p w14:paraId="324E475D"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Mean</w:t>
            </w:r>
          </w:p>
        </w:tc>
        <w:tc>
          <w:tcPr>
            <w:tcW w:w="1890" w:type="dxa"/>
            <w:tcBorders>
              <w:top w:val="nil"/>
              <w:left w:val="single" w:sz="2" w:space="0" w:color="000000" w:themeColor="text1"/>
              <w:bottom w:val="nil"/>
              <w:right w:val="single" w:sz="2" w:space="0" w:color="000000" w:themeColor="text1"/>
            </w:tcBorders>
            <w:shd w:val="clear" w:color="auto" w:fill="auto"/>
            <w:noWrap/>
            <w:vAlign w:val="center"/>
            <w:hideMark/>
          </w:tcPr>
          <w:p w14:paraId="00147E73"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1</w:t>
            </w:r>
          </w:p>
        </w:tc>
        <w:tc>
          <w:tcPr>
            <w:tcW w:w="1617" w:type="dxa"/>
            <w:tcBorders>
              <w:top w:val="nil"/>
              <w:left w:val="single" w:sz="2" w:space="0" w:color="000000" w:themeColor="text1"/>
              <w:bottom w:val="nil"/>
              <w:right w:val="single" w:sz="2" w:space="0" w:color="000000" w:themeColor="text1"/>
            </w:tcBorders>
            <w:shd w:val="clear" w:color="auto" w:fill="auto"/>
            <w:noWrap/>
            <w:vAlign w:val="center"/>
            <w:hideMark/>
          </w:tcPr>
          <w:p w14:paraId="2D43B614" w14:textId="77777777" w:rsidR="00001478" w:rsidRPr="00997F12" w:rsidRDefault="00001478" w:rsidP="00001478">
            <w:pPr>
              <w:rPr>
                <w:rFonts w:ascii="Times New Roman" w:eastAsia="Times New Roman" w:hAnsi="Times New Roman" w:cs="Times New Roman"/>
                <w:sz w:val="20"/>
                <w:szCs w:val="20"/>
              </w:rPr>
            </w:pPr>
            <w:r w:rsidRPr="00997F12">
              <w:rPr>
                <w:rFonts w:eastAsia="Times New Roman" w:cs="Times New Roman"/>
                <w:color w:val="000000"/>
                <w:sz w:val="22"/>
              </w:rPr>
              <w:t>2.5</w:t>
            </w:r>
          </w:p>
        </w:tc>
      </w:tr>
      <w:tr w:rsidR="00001478" w:rsidRPr="00997F12" w14:paraId="25FA630F" w14:textId="77777777" w:rsidTr="00001478">
        <w:trPr>
          <w:trHeight w:val="225"/>
          <w:jc w:val="center"/>
        </w:trPr>
        <w:tc>
          <w:tcPr>
            <w:tcW w:w="2970" w:type="dxa"/>
            <w:tcBorders>
              <w:top w:val="nil"/>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1A547459"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Median</w:t>
            </w:r>
          </w:p>
        </w:tc>
        <w:tc>
          <w:tcPr>
            <w:tcW w:w="1890" w:type="dxa"/>
            <w:tcBorders>
              <w:top w:val="nil"/>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35002890" w14:textId="77777777" w:rsidR="00001478" w:rsidRPr="00997F12" w:rsidRDefault="00001478" w:rsidP="00001478">
            <w:pPr>
              <w:rPr>
                <w:rFonts w:eastAsia="Times New Roman" w:cs="Times New Roman"/>
                <w:color w:val="000000"/>
                <w:sz w:val="22"/>
              </w:rPr>
            </w:pPr>
            <w:r w:rsidRPr="00997F12">
              <w:rPr>
                <w:rFonts w:eastAsia="Times New Roman" w:cs="Times New Roman"/>
                <w:color w:val="000000"/>
                <w:sz w:val="22"/>
              </w:rPr>
              <w:t>0.9</w:t>
            </w:r>
          </w:p>
        </w:tc>
        <w:tc>
          <w:tcPr>
            <w:tcW w:w="1617" w:type="dxa"/>
            <w:tcBorders>
              <w:top w:val="nil"/>
              <w:left w:val="single" w:sz="2" w:space="0" w:color="000000" w:themeColor="text1"/>
              <w:bottom w:val="single" w:sz="2" w:space="0" w:color="000000" w:themeColor="text1"/>
              <w:right w:val="single" w:sz="2" w:space="0" w:color="000000" w:themeColor="text1"/>
            </w:tcBorders>
            <w:shd w:val="clear" w:color="auto" w:fill="auto"/>
            <w:noWrap/>
            <w:vAlign w:val="center"/>
            <w:hideMark/>
          </w:tcPr>
          <w:p w14:paraId="6220F8EC" w14:textId="77777777" w:rsidR="00001478" w:rsidRPr="00997F12" w:rsidRDefault="00001478" w:rsidP="00001478">
            <w:pPr>
              <w:rPr>
                <w:rFonts w:ascii="Times New Roman" w:eastAsia="Times New Roman" w:hAnsi="Times New Roman" w:cs="Times New Roman"/>
                <w:sz w:val="20"/>
                <w:szCs w:val="20"/>
              </w:rPr>
            </w:pPr>
            <w:r w:rsidRPr="00997F12">
              <w:rPr>
                <w:rFonts w:eastAsia="Times New Roman" w:cs="Times New Roman"/>
                <w:color w:val="000000"/>
                <w:sz w:val="22"/>
              </w:rPr>
              <w:t>1.8</w:t>
            </w:r>
          </w:p>
        </w:tc>
      </w:tr>
    </w:tbl>
    <w:p w14:paraId="11B6EA74" w14:textId="77777777" w:rsidR="0049065B" w:rsidRDefault="0049065B" w:rsidP="00162E64">
      <w:pPr>
        <w:spacing w:before="200"/>
        <w:ind w:left="360"/>
      </w:pPr>
      <w:r>
        <w:t>Since the Cement ACT in 2007, EPA has regulated cement plants under CAA 111(d) and 129. Through the “Cement Manufacturing Enforcement Initiative” beginning in 2008 and continuing today, EPA has pursued an integrated compliance and enforcement strategy to address CAA New Source Review compliance issues at the nation's cement manufacturing facilities</w:t>
      </w:r>
      <w:r w:rsidR="00162E64">
        <w:t>.</w:t>
      </w:r>
      <w:r>
        <w:rPr>
          <w:rStyle w:val="FootnoteReference"/>
        </w:rPr>
        <w:footnoteReference w:id="28"/>
      </w:r>
      <w:r>
        <w:t xml:space="preserve"> Various legal settlements have </w:t>
      </w:r>
      <w:r w:rsidRPr="0049065B">
        <w:t>resulted in the reduction of various pollutants, including NOx, from cement plants around the US.</w:t>
      </w:r>
      <w:r w:rsidR="00162E64">
        <w:t xml:space="preserve"> </w:t>
      </w:r>
      <w:r w:rsidRPr="0049065B">
        <w:t xml:space="preserve">Appendix A lists the facilities and date of EPA </w:t>
      </w:r>
      <w:r w:rsidR="006F7568">
        <w:t>enforcement settlement</w:t>
      </w:r>
      <w:r w:rsidR="003E7A46">
        <w:t>s</w:t>
      </w:r>
      <w:r w:rsidRPr="0049065B">
        <w:t>.</w:t>
      </w:r>
    </w:p>
    <w:p w14:paraId="314D19DE" w14:textId="77777777" w:rsidR="00162E64" w:rsidRPr="00257DB0" w:rsidRDefault="00162E64" w:rsidP="001331CA">
      <w:pPr>
        <w:pStyle w:val="Heading3"/>
      </w:pPr>
      <w:bookmarkStart w:id="47" w:name="_Toc491349936"/>
      <w:r w:rsidRPr="00257DB0">
        <w:t>EPA Rules Affecting Cement Plants</w:t>
      </w:r>
      <w:bookmarkEnd w:id="47"/>
    </w:p>
    <w:p w14:paraId="75E61630" w14:textId="77777777" w:rsidR="00162E64" w:rsidRPr="002C5579" w:rsidRDefault="00162E64" w:rsidP="00620D9A">
      <w:pPr>
        <w:pStyle w:val="ListParagraph"/>
        <w:numPr>
          <w:ilvl w:val="0"/>
          <w:numId w:val="21"/>
        </w:numPr>
        <w:ind w:left="994"/>
        <w:contextualSpacing w:val="0"/>
      </w:pPr>
      <w:r w:rsidRPr="00257DB0">
        <w:t xml:space="preserve">All cement </w:t>
      </w:r>
      <w:r w:rsidRPr="002C5579">
        <w:t>facilities are subject to the Portland Cement NESHAP (40 CFR 63 subpart LLL) and NSPS (40 CFR 60 subpart F). Amended and Final in September 2010.</w:t>
      </w:r>
    </w:p>
    <w:p w14:paraId="16EE26A7" w14:textId="77777777" w:rsidR="00162E64" w:rsidRPr="002C5579" w:rsidRDefault="00162E64" w:rsidP="00620D9A">
      <w:pPr>
        <w:pStyle w:val="ListParagraph"/>
        <w:numPr>
          <w:ilvl w:val="0"/>
          <w:numId w:val="21"/>
        </w:numPr>
        <w:ind w:left="994"/>
        <w:contextualSpacing w:val="0"/>
      </w:pPr>
      <w:r w:rsidRPr="002C5579">
        <w:t xml:space="preserve">Cement kilns that burn hazardous waste are subject to the Hazardous Waste Combustor NESHAP (40 CFR 63 subpart LLL).  </w:t>
      </w:r>
    </w:p>
    <w:p w14:paraId="494D87D8" w14:textId="77777777" w:rsidR="00162E64" w:rsidRPr="00721A48" w:rsidRDefault="00162E64" w:rsidP="00620D9A">
      <w:pPr>
        <w:pStyle w:val="ListParagraph"/>
        <w:numPr>
          <w:ilvl w:val="0"/>
          <w:numId w:val="21"/>
        </w:numPr>
        <w:ind w:left="994"/>
        <w:contextualSpacing w:val="0"/>
      </w:pPr>
      <w:r w:rsidRPr="002C5579">
        <w:t>Cement kilns that</w:t>
      </w:r>
      <w:r w:rsidRPr="005B347A">
        <w:t xml:space="preserve"> burn non-hazardous solid wastes as defined in the upcoming solid waste definition rule will be subject to the Commercial and Industrial Solid Waste Incinerator Units (CISWI) rule (40</w:t>
      </w:r>
      <w:r w:rsidRPr="00721A48">
        <w:t xml:space="preserve"> CFR 60 subparts CCCC and DDDD) 2011.</w:t>
      </w:r>
    </w:p>
    <w:p w14:paraId="3E6145A2" w14:textId="183B8ACC" w:rsidR="00162E64" w:rsidRDefault="00162E64" w:rsidP="00891595">
      <w:pPr>
        <w:spacing w:before="200" w:after="200"/>
        <w:ind w:left="360"/>
        <w:rPr>
          <w:color w:val="000000"/>
        </w:rPr>
      </w:pPr>
      <w:r>
        <w:t>The final NSPS amendment (EPA NSPS 40 CFR Part 60, Subpart F) reduces emission limits for NOx, sulfur dioxide (SO</w:t>
      </w:r>
      <w:r w:rsidRPr="00BB5DF4">
        <w:rPr>
          <w:vertAlign w:val="subscript"/>
        </w:rPr>
        <w:t>2</w:t>
      </w:r>
      <w:r>
        <w:t>), and particulate matter (PM) from new kilns constructed or modified June 16, 2008, and requires CEM for each pollutant.</w:t>
      </w:r>
      <w:r>
        <w:rPr>
          <w:color w:val="000000"/>
        </w:rPr>
        <w:t xml:space="preserve"> All new cement kilns will be PH/PC kilns with SNCR to meet a</w:t>
      </w:r>
      <w:r w:rsidR="004569A4" w:rsidRPr="004569A4">
        <w:rPr>
          <w:szCs w:val="24"/>
        </w:rPr>
        <w:t xml:space="preserve"> </w:t>
      </w:r>
      <w:r w:rsidR="004569A4">
        <w:rPr>
          <w:szCs w:val="24"/>
        </w:rPr>
        <w:t>limit of</w:t>
      </w:r>
      <w:r>
        <w:rPr>
          <w:color w:val="000000"/>
        </w:rPr>
        <w:t xml:space="preserve"> 1.5 </w:t>
      </w:r>
      <w:proofErr w:type="spellStart"/>
      <w:r>
        <w:rPr>
          <w:szCs w:val="24"/>
        </w:rPr>
        <w:t>lb</w:t>
      </w:r>
      <w:proofErr w:type="spellEnd"/>
      <w:r>
        <w:rPr>
          <w:szCs w:val="24"/>
        </w:rPr>
        <w:t xml:space="preserve"> NOx/ton clinker.</w:t>
      </w:r>
      <w:r>
        <w:rPr>
          <w:color w:val="000000"/>
        </w:rPr>
        <w:t xml:space="preserve"> </w:t>
      </w:r>
    </w:p>
    <w:p w14:paraId="34B91B5D" w14:textId="77777777" w:rsidR="00162E64" w:rsidRDefault="00162E64" w:rsidP="00162E64">
      <w:pPr>
        <w:ind w:left="360"/>
        <w:rPr>
          <w:color w:val="000000"/>
        </w:rPr>
      </w:pPr>
      <w:r>
        <w:rPr>
          <w:color w:val="000000"/>
        </w:rPr>
        <w:t>The final NESHAP amendments (</w:t>
      </w:r>
      <w:r>
        <w:t xml:space="preserve">EPA NESHAP </w:t>
      </w:r>
      <w:r w:rsidRPr="00E27CC0">
        <w:t>40 CFR 63 subpart LLL</w:t>
      </w:r>
      <w:r>
        <w:t>)</w:t>
      </w:r>
      <w:r>
        <w:rPr>
          <w:color w:val="000000"/>
        </w:rPr>
        <w:t xml:space="preserve"> require </w:t>
      </w:r>
      <w:r w:rsidRPr="00E368C7">
        <w:rPr>
          <w:color w:val="000000"/>
        </w:rPr>
        <w:t xml:space="preserve">numerical emissions limits for </w:t>
      </w:r>
      <w:r>
        <w:rPr>
          <w:color w:val="000000"/>
        </w:rPr>
        <w:t>various pollutants</w:t>
      </w:r>
      <w:r w:rsidRPr="00E368C7">
        <w:rPr>
          <w:color w:val="000000"/>
        </w:rPr>
        <w:t xml:space="preserve"> </w:t>
      </w:r>
      <w:r>
        <w:rPr>
          <w:color w:val="000000"/>
        </w:rPr>
        <w:t xml:space="preserve">(except NOx) </w:t>
      </w:r>
      <w:r w:rsidRPr="00E368C7">
        <w:rPr>
          <w:color w:val="000000"/>
        </w:rPr>
        <w:t xml:space="preserve">for all </w:t>
      </w:r>
      <w:r w:rsidR="003E7A46">
        <w:rPr>
          <w:color w:val="000000"/>
        </w:rPr>
        <w:t xml:space="preserve">existing and new </w:t>
      </w:r>
      <w:r w:rsidRPr="00E368C7">
        <w:rPr>
          <w:color w:val="000000"/>
        </w:rPr>
        <w:t>sources</w:t>
      </w:r>
      <w:r>
        <w:rPr>
          <w:color w:val="000000"/>
        </w:rPr>
        <w:t>. NOx control was not a part of the NESHAP for existing units but system upgrades that are likely to have multi-pollutant reductions.</w:t>
      </w:r>
      <w:r>
        <w:rPr>
          <w:rStyle w:val="FootnoteReference"/>
          <w:color w:val="000000"/>
        </w:rPr>
        <w:footnoteReference w:id="29"/>
      </w:r>
      <w:r>
        <w:rPr>
          <w:color w:val="000000"/>
        </w:rPr>
        <w:t xml:space="preserve"> </w:t>
      </w:r>
    </w:p>
    <w:p w14:paraId="3C5B8B83" w14:textId="77777777" w:rsidR="0030414C" w:rsidRDefault="00250997" w:rsidP="00530E34">
      <w:pPr>
        <w:spacing w:before="200" w:after="200"/>
        <w:ind w:left="360"/>
      </w:pPr>
      <w:r w:rsidRPr="0030414C">
        <w:t>In A</w:t>
      </w:r>
      <w:r w:rsidR="0030414C" w:rsidRPr="0030414C">
        <w:t xml:space="preserve">ugust of 2016 EPA prepared a report to support the </w:t>
      </w:r>
      <w:r w:rsidR="00483244">
        <w:t xml:space="preserve">CSAPR U effort and </w:t>
      </w:r>
      <w:r w:rsidR="003E7A46">
        <w:t xml:space="preserve">evaluate the reduction of </w:t>
      </w:r>
      <w:r w:rsidR="00483244">
        <w:t>transport</w:t>
      </w:r>
      <w:r w:rsidR="003E7A46">
        <w:t xml:space="preserve">ed </w:t>
      </w:r>
      <w:r w:rsidR="00483244">
        <w:t>NOx with</w:t>
      </w:r>
      <w:r w:rsidR="0030414C" w:rsidRPr="0030414C">
        <w:t xml:space="preserve"> controls </w:t>
      </w:r>
      <w:r w:rsidR="00483244">
        <w:t>on</w:t>
      </w:r>
      <w:r w:rsidR="0030414C" w:rsidRPr="0030414C">
        <w:t xml:space="preserve"> EGU</w:t>
      </w:r>
      <w:r w:rsidR="00483244">
        <w:t>s</w:t>
      </w:r>
      <w:r w:rsidR="0030414C" w:rsidRPr="0030414C">
        <w:t xml:space="preserve"> and Non-EGU</w:t>
      </w:r>
      <w:r w:rsidR="00483244">
        <w:t>s</w:t>
      </w:r>
      <w:r w:rsidR="004F3A64">
        <w:t xml:space="preserve">, using </w:t>
      </w:r>
      <w:r w:rsidRPr="0030414C">
        <w:t xml:space="preserve">2011 </w:t>
      </w:r>
      <w:r w:rsidR="004F3A64">
        <w:t xml:space="preserve">as the </w:t>
      </w:r>
      <w:r w:rsidRPr="0030414C">
        <w:t>base year with a 2017 future base year</w:t>
      </w:r>
      <w:r w:rsidR="004F3A64">
        <w:t xml:space="preserve">. </w:t>
      </w:r>
      <w:r w:rsidRPr="0030414C">
        <w:t xml:space="preserve"> </w:t>
      </w:r>
      <w:r w:rsidR="00C92BC2">
        <w:t>This Report outlines</w:t>
      </w:r>
      <w:r w:rsidRPr="0030414C">
        <w:t xml:space="preserve"> various control technologies that </w:t>
      </w:r>
      <w:r w:rsidRPr="0030414C">
        <w:lastRenderedPageBreak/>
        <w:t xml:space="preserve">can be applied to cement kilns </w:t>
      </w:r>
      <w:r w:rsidR="00C92BC2">
        <w:t xml:space="preserve">such as </w:t>
      </w:r>
      <w:r w:rsidR="00C92BC2" w:rsidRPr="0030414C">
        <w:t xml:space="preserve">SNCR, </w:t>
      </w:r>
      <w:proofErr w:type="spellStart"/>
      <w:r w:rsidR="00C92BC2" w:rsidRPr="00530E34">
        <w:t>Biosolid</w:t>
      </w:r>
      <w:proofErr w:type="spellEnd"/>
      <w:r w:rsidR="00C92BC2" w:rsidRPr="00530E34">
        <w:t xml:space="preserve"> Injection Technology (BSI) and mid-kiln firing</w:t>
      </w:r>
      <w:r w:rsidR="00C92BC2">
        <w:t xml:space="preserve"> </w:t>
      </w:r>
      <w:r w:rsidR="00C92BC2" w:rsidRPr="00530E34">
        <w:t>(MKF)</w:t>
      </w:r>
      <w:r w:rsidR="00C92BC2">
        <w:t xml:space="preserve">. The EPA estimates </w:t>
      </w:r>
      <w:r w:rsidR="00C92BC2" w:rsidRPr="0030414C">
        <w:t xml:space="preserve">NOx reductions </w:t>
      </w:r>
      <w:r w:rsidR="00165B68">
        <w:t xml:space="preserve">to be gained </w:t>
      </w:r>
      <w:r w:rsidR="00C92BC2">
        <w:t xml:space="preserve">from cement manufacturing </w:t>
      </w:r>
      <w:r w:rsidR="00165B68">
        <w:t>(</w:t>
      </w:r>
      <w:r w:rsidR="00C92BC2" w:rsidRPr="0030414C">
        <w:t>from an uncontrolled level</w:t>
      </w:r>
      <w:r w:rsidR="00165B68">
        <w:t>)</w:t>
      </w:r>
      <w:r w:rsidR="00C92BC2" w:rsidRPr="0030414C">
        <w:t xml:space="preserve"> to be </w:t>
      </w:r>
      <w:r w:rsidR="00165B68">
        <w:t xml:space="preserve">about </w:t>
      </w:r>
      <w:r w:rsidR="00C92BC2" w:rsidRPr="0030414C">
        <w:t>30%</w:t>
      </w:r>
      <w:r w:rsidR="00C92BC2">
        <w:t xml:space="preserve"> at a </w:t>
      </w:r>
      <w:r w:rsidRPr="0030414C">
        <w:t xml:space="preserve">cost </w:t>
      </w:r>
      <w:r w:rsidR="00C92BC2">
        <w:t xml:space="preserve">of </w:t>
      </w:r>
      <w:r w:rsidR="00C92BC2" w:rsidRPr="0030414C">
        <w:t xml:space="preserve">$73 - $1,255 </w:t>
      </w:r>
      <w:r w:rsidRPr="0030414C">
        <w:t>per ton of NOx removed</w:t>
      </w:r>
      <w:r w:rsidR="00DD25A7">
        <w:t xml:space="preserve"> (</w:t>
      </w:r>
      <w:r w:rsidR="00483244">
        <w:t>See Appendix A</w:t>
      </w:r>
      <w:r w:rsidR="00DD25A7">
        <w:t>)</w:t>
      </w:r>
      <w:r w:rsidR="00C92BC2">
        <w:t xml:space="preserve">.  </w:t>
      </w:r>
      <w:r w:rsidRPr="0030414C">
        <w:t xml:space="preserve">Therefore EPA is advocating that </w:t>
      </w:r>
      <w:r w:rsidR="00165B68" w:rsidRPr="0030414C">
        <w:t>NOx reductions</w:t>
      </w:r>
      <w:r w:rsidR="00165B68" w:rsidRPr="0030414C" w:rsidDel="00165B68">
        <w:t xml:space="preserve"> </w:t>
      </w:r>
      <w:r w:rsidR="00165B68">
        <w:t>from</w:t>
      </w:r>
      <w:r w:rsidR="00165B68" w:rsidRPr="0030414C">
        <w:t xml:space="preserve"> </w:t>
      </w:r>
      <w:r w:rsidRPr="0030414C">
        <w:t xml:space="preserve">the cement industry are economically </w:t>
      </w:r>
      <w:r w:rsidR="00165B68">
        <w:t>feasible</w:t>
      </w:r>
      <w:r w:rsidRPr="0030414C">
        <w:t>.</w:t>
      </w:r>
      <w:r w:rsidR="0030414C">
        <w:rPr>
          <w:rStyle w:val="FootnoteReference"/>
        </w:rPr>
        <w:footnoteReference w:id="30"/>
      </w:r>
    </w:p>
    <w:p w14:paraId="1F03FA6E" w14:textId="77777777" w:rsidR="006F7568" w:rsidRPr="00530E34" w:rsidRDefault="006F7568" w:rsidP="001331CA">
      <w:pPr>
        <w:pStyle w:val="Heading3"/>
        <w:rPr>
          <w:rFonts w:cs="Calibri"/>
        </w:rPr>
      </w:pPr>
      <w:bookmarkStart w:id="48" w:name="_Toc491349937"/>
      <w:r w:rsidRPr="00530E34">
        <w:t>OTC Cement Kiln Review and Recommendation</w:t>
      </w:r>
      <w:r w:rsidR="00530E34">
        <w:t>s</w:t>
      </w:r>
      <w:bookmarkEnd w:id="48"/>
    </w:p>
    <w:p w14:paraId="76AB1FA1" w14:textId="77777777" w:rsidR="005D705A" w:rsidRDefault="005D705A" w:rsidP="00530E34">
      <w:pPr>
        <w:autoSpaceDE w:val="0"/>
        <w:autoSpaceDN w:val="0"/>
        <w:adjustRightInd w:val="0"/>
        <w:spacing w:after="120"/>
        <w:ind w:left="360"/>
        <w:rPr>
          <w:rFonts w:asciiTheme="minorHAnsi" w:hAnsiTheme="minorHAnsi" w:cs="Calibri"/>
          <w:szCs w:val="24"/>
        </w:rPr>
      </w:pPr>
      <w:r w:rsidRPr="000B3181">
        <w:rPr>
          <w:rFonts w:asciiTheme="minorHAnsi" w:hAnsiTheme="minorHAnsi" w:cs="Calibri"/>
          <w:szCs w:val="24"/>
        </w:rPr>
        <w:t xml:space="preserve">In </w:t>
      </w:r>
      <w:r w:rsidR="00F03D9D" w:rsidRPr="000B3181">
        <w:rPr>
          <w:rFonts w:asciiTheme="minorHAnsi" w:hAnsiTheme="minorHAnsi" w:cs="Calibri"/>
          <w:szCs w:val="24"/>
        </w:rPr>
        <w:t xml:space="preserve">its 2007 Final Technical Support Document </w:t>
      </w:r>
      <w:r w:rsidR="00B93E10">
        <w:rPr>
          <w:rFonts w:asciiTheme="minorHAnsi" w:hAnsiTheme="minorHAnsi" w:cs="Calibri"/>
          <w:szCs w:val="24"/>
        </w:rPr>
        <w:t xml:space="preserve">(TSD) </w:t>
      </w:r>
      <w:r w:rsidR="00F03D9D" w:rsidRPr="000B3181">
        <w:rPr>
          <w:rFonts w:asciiTheme="minorHAnsi" w:hAnsiTheme="minorHAnsi" w:cs="Calibri"/>
          <w:szCs w:val="24"/>
        </w:rPr>
        <w:t xml:space="preserve">on cement kilns, </w:t>
      </w:r>
      <w:r w:rsidRPr="000B3181">
        <w:rPr>
          <w:rFonts w:asciiTheme="minorHAnsi" w:hAnsiTheme="minorHAnsi" w:cs="Calibri"/>
          <w:szCs w:val="24"/>
        </w:rPr>
        <w:t xml:space="preserve">the OTC </w:t>
      </w:r>
      <w:r w:rsidR="00F03D9D" w:rsidRPr="000B3181">
        <w:rPr>
          <w:rFonts w:asciiTheme="minorHAnsi" w:hAnsiTheme="minorHAnsi" w:cs="Calibri"/>
          <w:szCs w:val="24"/>
        </w:rPr>
        <w:t xml:space="preserve">made a </w:t>
      </w:r>
      <w:r w:rsidRPr="000B3181">
        <w:rPr>
          <w:rFonts w:asciiTheme="minorHAnsi" w:hAnsiTheme="minorHAnsi" w:cs="Calibri"/>
          <w:szCs w:val="24"/>
        </w:rPr>
        <w:t xml:space="preserve">recommendation </w:t>
      </w:r>
      <w:r w:rsidR="00EE744F">
        <w:rPr>
          <w:rFonts w:asciiTheme="minorHAnsi" w:hAnsiTheme="minorHAnsi" w:cs="Calibri"/>
          <w:szCs w:val="24"/>
        </w:rPr>
        <w:t xml:space="preserve">for a NOx emission rate </w:t>
      </w:r>
      <w:r w:rsidR="00F03D9D" w:rsidRPr="000B3181">
        <w:rPr>
          <w:rFonts w:asciiTheme="minorHAnsi" w:hAnsiTheme="minorHAnsi" w:cs="Calibri"/>
          <w:szCs w:val="24"/>
        </w:rPr>
        <w:t>of</w:t>
      </w:r>
      <w:r w:rsidRPr="000B3181">
        <w:rPr>
          <w:rFonts w:asciiTheme="minorHAnsi" w:hAnsiTheme="minorHAnsi" w:cs="Calibri"/>
          <w:szCs w:val="24"/>
        </w:rPr>
        <w:t xml:space="preserve"> 1.52</w:t>
      </w:r>
      <w:r w:rsidR="007556E4">
        <w:rPr>
          <w:rFonts w:asciiTheme="minorHAnsi" w:hAnsiTheme="minorHAnsi" w:cs="Calibri"/>
          <w:szCs w:val="24"/>
        </w:rPr>
        <w:t xml:space="preserve"> </w:t>
      </w:r>
      <w:r w:rsidR="00E424C9">
        <w:rPr>
          <w:rFonts w:asciiTheme="minorHAnsi" w:hAnsiTheme="minorHAnsi" w:cs="Calibri"/>
          <w:szCs w:val="24"/>
        </w:rPr>
        <w:t xml:space="preserve">- </w:t>
      </w:r>
      <w:r w:rsidR="007556E4">
        <w:rPr>
          <w:rFonts w:asciiTheme="minorHAnsi" w:hAnsiTheme="minorHAnsi" w:cs="Calibri"/>
          <w:szCs w:val="24"/>
        </w:rPr>
        <w:t>3.88</w:t>
      </w:r>
      <w:r w:rsidRPr="000B3181">
        <w:rPr>
          <w:rFonts w:asciiTheme="minorHAnsi" w:hAnsiTheme="minorHAnsi" w:cs="Calibri"/>
          <w:szCs w:val="24"/>
        </w:rPr>
        <w:t xml:space="preserve"> </w:t>
      </w:r>
      <w:proofErr w:type="spellStart"/>
      <w:r w:rsidRPr="000B3181">
        <w:rPr>
          <w:rFonts w:asciiTheme="minorHAnsi" w:hAnsiTheme="minorHAnsi" w:cs="Calibri"/>
          <w:szCs w:val="24"/>
        </w:rPr>
        <w:t>lbs</w:t>
      </w:r>
      <w:proofErr w:type="spellEnd"/>
      <w:r w:rsidRPr="000B3181">
        <w:rPr>
          <w:rFonts w:asciiTheme="minorHAnsi" w:hAnsiTheme="minorHAnsi" w:cs="Calibri"/>
          <w:szCs w:val="24"/>
        </w:rPr>
        <w:t xml:space="preserve"> NOx/ton of clinker produced</w:t>
      </w:r>
      <w:r w:rsidR="00F03D9D" w:rsidRPr="000B3181">
        <w:rPr>
          <w:rFonts w:asciiTheme="minorHAnsi" w:hAnsiTheme="minorHAnsi" w:cs="Calibri"/>
          <w:szCs w:val="24"/>
        </w:rPr>
        <w:t xml:space="preserve"> for the </w:t>
      </w:r>
      <w:r w:rsidR="009B0A67">
        <w:rPr>
          <w:rFonts w:asciiTheme="minorHAnsi" w:hAnsiTheme="minorHAnsi" w:cs="Calibri"/>
          <w:szCs w:val="24"/>
        </w:rPr>
        <w:t>four</w:t>
      </w:r>
      <w:r w:rsidR="009B0A67" w:rsidRPr="000B3181">
        <w:rPr>
          <w:rFonts w:asciiTheme="minorHAnsi" w:hAnsiTheme="minorHAnsi" w:cs="Calibri"/>
          <w:szCs w:val="24"/>
        </w:rPr>
        <w:t xml:space="preserve"> </w:t>
      </w:r>
      <w:r w:rsidR="00F03D9D" w:rsidRPr="000B3181">
        <w:rPr>
          <w:rFonts w:asciiTheme="minorHAnsi" w:hAnsiTheme="minorHAnsi" w:cs="Calibri"/>
          <w:szCs w:val="24"/>
        </w:rPr>
        <w:t>types of kilns</w:t>
      </w:r>
      <w:r w:rsidRPr="000B3181">
        <w:rPr>
          <w:rFonts w:asciiTheme="minorHAnsi" w:hAnsiTheme="minorHAnsi" w:cs="Calibri"/>
          <w:szCs w:val="24"/>
        </w:rPr>
        <w:t>.</w:t>
      </w:r>
      <w:r w:rsidR="00C56BD5">
        <w:rPr>
          <w:rStyle w:val="FootnoteReference"/>
          <w:rFonts w:asciiTheme="minorHAnsi" w:hAnsiTheme="minorHAnsi" w:cs="Calibri"/>
          <w:szCs w:val="24"/>
        </w:rPr>
        <w:footnoteReference w:id="31"/>
      </w:r>
      <w:r w:rsidRPr="000B3181">
        <w:rPr>
          <w:rFonts w:asciiTheme="minorHAnsi" w:hAnsiTheme="minorHAnsi" w:cs="Calibri"/>
          <w:szCs w:val="24"/>
        </w:rPr>
        <w:t xml:space="preserve"> </w:t>
      </w:r>
      <w:r w:rsidR="00B93E10">
        <w:rPr>
          <w:rFonts w:asciiTheme="minorHAnsi" w:hAnsiTheme="minorHAnsi" w:cs="Calibri"/>
          <w:szCs w:val="24"/>
        </w:rPr>
        <w:t>In 2006, t</w:t>
      </w:r>
      <w:r w:rsidRPr="000B3181">
        <w:rPr>
          <w:rFonts w:asciiTheme="minorHAnsi" w:hAnsiTheme="minorHAnsi" w:cs="Calibri"/>
          <w:szCs w:val="24"/>
        </w:rPr>
        <w:t xml:space="preserve">he OTC Commissioners recommended that </w:t>
      </w:r>
      <w:r w:rsidR="00B93E10">
        <w:rPr>
          <w:rFonts w:asciiTheme="minorHAnsi" w:hAnsiTheme="minorHAnsi" w:cs="Calibri"/>
          <w:szCs w:val="24"/>
        </w:rPr>
        <w:t>“</w:t>
      </w:r>
      <w:r w:rsidRPr="000B3181">
        <w:rPr>
          <w:rFonts w:asciiTheme="minorHAnsi" w:hAnsiTheme="minorHAnsi" w:cs="Calibri"/>
          <w:szCs w:val="24"/>
        </w:rPr>
        <w:t>OTC member states pursue, as necessary and appropriate, state-specific rulemakings or other implementation methods to establish emission reduction percentages, emission rates or technologies that are consistent with the guidelines</w:t>
      </w:r>
      <w:r w:rsidR="00B93E10">
        <w:rPr>
          <w:rFonts w:asciiTheme="minorHAnsi" w:hAnsiTheme="minorHAnsi" w:cs="Calibri"/>
          <w:szCs w:val="24"/>
        </w:rPr>
        <w:t>”</w:t>
      </w:r>
      <w:r w:rsidRPr="000B3181">
        <w:rPr>
          <w:rFonts w:asciiTheme="minorHAnsi" w:hAnsiTheme="minorHAnsi" w:cs="Calibri"/>
          <w:szCs w:val="24"/>
        </w:rPr>
        <w:t xml:space="preserve"> shown </w:t>
      </w:r>
      <w:r w:rsidR="00B93E10">
        <w:rPr>
          <w:rFonts w:asciiTheme="minorHAnsi" w:hAnsiTheme="minorHAnsi" w:cs="Calibri"/>
          <w:szCs w:val="24"/>
        </w:rPr>
        <w:t xml:space="preserve">below </w:t>
      </w:r>
      <w:r w:rsidRPr="000B3181">
        <w:rPr>
          <w:rFonts w:asciiTheme="minorHAnsi" w:hAnsiTheme="minorHAnsi" w:cs="Calibri"/>
          <w:szCs w:val="24"/>
        </w:rPr>
        <w:t xml:space="preserve">in Table </w:t>
      </w:r>
      <w:r w:rsidR="00162E64">
        <w:rPr>
          <w:rFonts w:asciiTheme="minorHAnsi" w:hAnsiTheme="minorHAnsi" w:cs="Calibri"/>
          <w:szCs w:val="24"/>
        </w:rPr>
        <w:t>3</w:t>
      </w:r>
      <w:r w:rsidR="00162E64" w:rsidRPr="000B3181">
        <w:rPr>
          <w:rFonts w:asciiTheme="minorHAnsi" w:hAnsiTheme="minorHAnsi" w:cs="Calibri"/>
          <w:szCs w:val="24"/>
        </w:rPr>
        <w:t xml:space="preserve"> </w:t>
      </w:r>
      <w:r w:rsidR="00B93E10">
        <w:rPr>
          <w:rFonts w:asciiTheme="minorHAnsi" w:hAnsiTheme="minorHAnsi" w:cs="Calibri"/>
          <w:szCs w:val="24"/>
        </w:rPr>
        <w:t>which has been adapted from the TSD</w:t>
      </w:r>
      <w:r w:rsidRPr="000B3181">
        <w:rPr>
          <w:rFonts w:asciiTheme="minorHAnsi" w:hAnsiTheme="minorHAnsi" w:cs="Calibri"/>
          <w:szCs w:val="24"/>
        </w:rPr>
        <w:t xml:space="preserve">.  </w:t>
      </w:r>
      <w:r w:rsidR="00B93E10">
        <w:rPr>
          <w:rFonts w:asciiTheme="minorHAnsi" w:hAnsiTheme="minorHAnsi" w:cs="Calibri"/>
          <w:szCs w:val="24"/>
        </w:rPr>
        <w:t>“</w:t>
      </w:r>
      <w:r w:rsidRPr="000B3181">
        <w:rPr>
          <w:rFonts w:asciiTheme="minorHAnsi" w:hAnsiTheme="minorHAnsi" w:cs="Calibri"/>
          <w:szCs w:val="24"/>
        </w:rPr>
        <w:t xml:space="preserve">The guidelines were </w:t>
      </w:r>
      <w:r>
        <w:rPr>
          <w:rFonts w:asciiTheme="minorHAnsi" w:hAnsiTheme="minorHAnsi" w:cs="Calibri"/>
          <w:szCs w:val="24"/>
        </w:rPr>
        <w:t>presented in terms of both an emission rate (</w:t>
      </w:r>
      <w:proofErr w:type="spellStart"/>
      <w:r>
        <w:rPr>
          <w:rFonts w:asciiTheme="minorHAnsi" w:hAnsiTheme="minorHAnsi" w:cs="Calibri"/>
          <w:szCs w:val="24"/>
        </w:rPr>
        <w:t>lbs</w:t>
      </w:r>
      <w:proofErr w:type="spellEnd"/>
      <w:r>
        <w:rPr>
          <w:rFonts w:asciiTheme="minorHAnsi" w:hAnsiTheme="minorHAnsi" w:cs="Calibri"/>
          <w:szCs w:val="24"/>
        </w:rPr>
        <w:t>/ton of clinker by kiln type) as well as a percent reduction from uncontrolled levels</w:t>
      </w:r>
      <w:r w:rsidR="00B93E10">
        <w:rPr>
          <w:rFonts w:asciiTheme="minorHAnsi" w:hAnsiTheme="minorHAnsi" w:cs="Calibri"/>
          <w:szCs w:val="24"/>
        </w:rPr>
        <w:t>.”</w:t>
      </w:r>
      <w:r>
        <w:rPr>
          <w:rStyle w:val="FootnoteReference"/>
          <w:rFonts w:asciiTheme="minorHAnsi" w:hAnsiTheme="minorHAnsi" w:cs="Calibri"/>
          <w:szCs w:val="24"/>
        </w:rPr>
        <w:footnoteReference w:id="32"/>
      </w:r>
    </w:p>
    <w:p w14:paraId="1DE9633E" w14:textId="77777777" w:rsidR="005D705A" w:rsidRPr="008B7D21" w:rsidRDefault="008B7D21" w:rsidP="008B7D21">
      <w:pPr>
        <w:pStyle w:val="Caption"/>
        <w:spacing w:after="60" w:line="240" w:lineRule="auto"/>
        <w:jc w:val="center"/>
        <w:rPr>
          <w:rFonts w:asciiTheme="minorHAnsi" w:hAnsiTheme="minorHAnsi" w:cs="Calibri"/>
          <w:b/>
          <w:i w:val="0"/>
          <w:color w:val="000000" w:themeColor="text1"/>
          <w:sz w:val="22"/>
          <w:szCs w:val="22"/>
        </w:rPr>
      </w:pPr>
      <w:bookmarkStart w:id="49" w:name="_Toc488854466"/>
      <w:bookmarkStart w:id="50" w:name="_Toc488854876"/>
      <w:bookmarkStart w:id="51" w:name="_Toc490140187"/>
      <w:bookmarkStart w:id="52" w:name="_Toc491073913"/>
      <w:r w:rsidRPr="008B7D21">
        <w:rPr>
          <w:b/>
          <w:i w:val="0"/>
          <w:color w:val="000000" w:themeColor="text1"/>
          <w:sz w:val="22"/>
          <w:szCs w:val="22"/>
        </w:rPr>
        <w:t xml:space="preserve">Table </w:t>
      </w:r>
      <w:r w:rsidR="00190587" w:rsidRPr="008B7D21">
        <w:rPr>
          <w:b/>
          <w:i w:val="0"/>
          <w:color w:val="000000" w:themeColor="text1"/>
          <w:sz w:val="22"/>
          <w:szCs w:val="22"/>
        </w:rPr>
        <w:fldChar w:fldCharType="begin"/>
      </w:r>
      <w:r w:rsidRPr="008B7D21">
        <w:rPr>
          <w:b/>
          <w:i w:val="0"/>
          <w:color w:val="000000" w:themeColor="text1"/>
          <w:sz w:val="22"/>
          <w:szCs w:val="22"/>
        </w:rPr>
        <w:instrText xml:space="preserve"> SEQ Table \* ARABIC </w:instrText>
      </w:r>
      <w:r w:rsidR="00190587" w:rsidRPr="008B7D21">
        <w:rPr>
          <w:b/>
          <w:i w:val="0"/>
          <w:color w:val="000000" w:themeColor="text1"/>
          <w:sz w:val="22"/>
          <w:szCs w:val="22"/>
        </w:rPr>
        <w:fldChar w:fldCharType="separate"/>
      </w:r>
      <w:r w:rsidR="006F2830">
        <w:rPr>
          <w:b/>
          <w:i w:val="0"/>
          <w:noProof/>
          <w:color w:val="000000" w:themeColor="text1"/>
          <w:sz w:val="22"/>
          <w:szCs w:val="22"/>
        </w:rPr>
        <w:t>4</w:t>
      </w:r>
      <w:r w:rsidR="00190587" w:rsidRPr="008B7D21">
        <w:rPr>
          <w:b/>
          <w:i w:val="0"/>
          <w:color w:val="000000" w:themeColor="text1"/>
          <w:sz w:val="22"/>
          <w:szCs w:val="22"/>
        </w:rPr>
        <w:fldChar w:fldCharType="end"/>
      </w:r>
      <w:r w:rsidRPr="008B7D21">
        <w:rPr>
          <w:b/>
          <w:i w:val="0"/>
          <w:color w:val="000000" w:themeColor="text1"/>
          <w:sz w:val="22"/>
          <w:szCs w:val="22"/>
        </w:rPr>
        <w:t xml:space="preserve">  </w:t>
      </w:r>
      <w:r w:rsidR="00B040BF" w:rsidRPr="008B7D21">
        <w:rPr>
          <w:rFonts w:asciiTheme="minorHAnsi" w:hAnsiTheme="minorHAnsi" w:cs="Calibri"/>
          <w:b/>
          <w:i w:val="0"/>
          <w:color w:val="000000" w:themeColor="text1"/>
          <w:sz w:val="22"/>
          <w:szCs w:val="22"/>
        </w:rPr>
        <w:t>Emission Guidelines for Cement Kilns per 2006 OTC Resolution</w:t>
      </w:r>
      <w:r w:rsidR="00B040BF" w:rsidRPr="008B7D21">
        <w:rPr>
          <w:rStyle w:val="FootnoteReference"/>
          <w:rFonts w:asciiTheme="minorHAnsi" w:hAnsiTheme="minorHAnsi" w:cs="Calibri"/>
          <w:b/>
          <w:i w:val="0"/>
          <w:color w:val="000000" w:themeColor="text1"/>
          <w:sz w:val="22"/>
          <w:szCs w:val="22"/>
        </w:rPr>
        <w:footnoteReference w:id="33"/>
      </w:r>
      <w:bookmarkEnd w:id="49"/>
      <w:bookmarkEnd w:id="50"/>
      <w:bookmarkEnd w:id="51"/>
      <w:bookmarkEnd w:id="52"/>
      <w:r w:rsidR="00190587" w:rsidRPr="008B7D21">
        <w:rPr>
          <w:rFonts w:asciiTheme="minorHAnsi" w:hAnsiTheme="minorHAnsi" w:cs="Calibri"/>
          <w:b/>
          <w:i w:val="0"/>
          <w:color w:val="000000" w:themeColor="text1"/>
          <w:sz w:val="22"/>
          <w:szCs w:val="22"/>
        </w:rPr>
        <w:fldChar w:fldCharType="begin"/>
      </w:r>
      <w:r w:rsidRPr="008B7D21">
        <w:rPr>
          <w:color w:val="000000" w:themeColor="text1"/>
          <w:sz w:val="22"/>
          <w:szCs w:val="22"/>
        </w:rPr>
        <w:instrText xml:space="preserve"> XE "</w:instrText>
      </w:r>
      <w:r w:rsidRPr="008B7D21">
        <w:rPr>
          <w:b/>
          <w:i w:val="0"/>
          <w:color w:val="000000" w:themeColor="text1"/>
          <w:sz w:val="22"/>
          <w:szCs w:val="22"/>
        </w:rPr>
        <w:instrText xml:space="preserve">Table </w:instrText>
      </w:r>
      <w:r w:rsidR="000C55B5">
        <w:rPr>
          <w:b/>
          <w:i w:val="0"/>
          <w:noProof/>
          <w:color w:val="000000" w:themeColor="text1"/>
          <w:sz w:val="22"/>
          <w:szCs w:val="22"/>
        </w:rPr>
        <w:instrText>4</w:instrText>
      </w:r>
      <w:r w:rsidR="000C55B5" w:rsidRPr="008B7D21">
        <w:rPr>
          <w:b/>
          <w:i w:val="0"/>
          <w:color w:val="000000" w:themeColor="text1"/>
          <w:sz w:val="22"/>
          <w:szCs w:val="22"/>
        </w:rPr>
        <w:instrText xml:space="preserve">  </w:instrText>
      </w:r>
      <w:r w:rsidRPr="008B7D21">
        <w:rPr>
          <w:rFonts w:asciiTheme="minorHAnsi" w:hAnsiTheme="minorHAnsi" w:cs="Calibri"/>
          <w:b/>
          <w:i w:val="0"/>
          <w:color w:val="000000" w:themeColor="text1"/>
          <w:sz w:val="22"/>
          <w:szCs w:val="22"/>
        </w:rPr>
        <w:instrText>Emission Guidelines for Cement Kilns per 2006 OTC Resolution</w:instrText>
      </w:r>
      <w:r w:rsidRPr="008B7D21">
        <w:rPr>
          <w:color w:val="000000" w:themeColor="text1"/>
          <w:sz w:val="22"/>
          <w:szCs w:val="22"/>
        </w:rPr>
        <w:instrText xml:space="preserve">" </w:instrText>
      </w:r>
      <w:r w:rsidR="00190587" w:rsidRPr="008B7D21">
        <w:rPr>
          <w:rFonts w:asciiTheme="minorHAnsi" w:hAnsiTheme="minorHAnsi" w:cs="Calibri"/>
          <w:b/>
          <w:i w:val="0"/>
          <w:color w:val="000000" w:themeColor="text1"/>
          <w:sz w:val="22"/>
          <w:szCs w:val="22"/>
        </w:rPr>
        <w:fldChar w:fldCharType="end"/>
      </w:r>
    </w:p>
    <w:tbl>
      <w:tblPr>
        <w:tblStyle w:val="TableGrid"/>
        <w:tblW w:w="0" w:type="auto"/>
        <w:tblInd w:w="715" w:type="dxa"/>
        <w:tblLook w:val="04A0" w:firstRow="1" w:lastRow="0" w:firstColumn="1" w:lastColumn="0" w:noHBand="0" w:noVBand="1"/>
      </w:tblPr>
      <w:tblGrid>
        <w:gridCol w:w="2401"/>
        <w:gridCol w:w="3539"/>
        <w:gridCol w:w="2070"/>
      </w:tblGrid>
      <w:tr w:rsidR="00536D47" w:rsidRPr="00536D47" w14:paraId="7B2C81CC" w14:textId="77777777" w:rsidTr="00D360AB">
        <w:tc>
          <w:tcPr>
            <w:tcW w:w="2401" w:type="dxa"/>
            <w:tcBorders>
              <w:top w:val="single" w:sz="4" w:space="0" w:color="auto"/>
              <w:left w:val="single" w:sz="4" w:space="0" w:color="auto"/>
              <w:bottom w:val="single" w:sz="4" w:space="0" w:color="auto"/>
              <w:right w:val="single" w:sz="4" w:space="0" w:color="auto"/>
            </w:tcBorders>
            <w:vAlign w:val="center"/>
            <w:hideMark/>
          </w:tcPr>
          <w:p w14:paraId="1D910FD3" w14:textId="77777777" w:rsidR="005D705A" w:rsidRPr="00536D47" w:rsidRDefault="005D705A" w:rsidP="00536D47">
            <w:pPr>
              <w:pStyle w:val="Caption"/>
              <w:spacing w:after="0"/>
              <w:jc w:val="center"/>
              <w:rPr>
                <w:b/>
                <w:i w:val="0"/>
                <w:color w:val="auto"/>
                <w:sz w:val="22"/>
                <w:szCs w:val="22"/>
              </w:rPr>
            </w:pPr>
            <w:bookmarkStart w:id="53" w:name="_Toc488854467"/>
            <w:bookmarkStart w:id="54" w:name="_Toc488854877"/>
            <w:bookmarkStart w:id="55" w:name="_Toc490140188"/>
            <w:r w:rsidRPr="00536D47">
              <w:rPr>
                <w:rFonts w:asciiTheme="minorHAnsi" w:hAnsiTheme="minorHAnsi" w:cs="Calibri"/>
                <w:b/>
                <w:i w:val="0"/>
                <w:color w:val="auto"/>
                <w:sz w:val="22"/>
                <w:szCs w:val="22"/>
              </w:rPr>
              <w:t>Kiln Type</w:t>
            </w:r>
            <w:bookmarkEnd w:id="53"/>
            <w:bookmarkEnd w:id="54"/>
            <w:bookmarkEnd w:id="55"/>
          </w:p>
        </w:tc>
        <w:tc>
          <w:tcPr>
            <w:tcW w:w="3539" w:type="dxa"/>
            <w:tcBorders>
              <w:top w:val="single" w:sz="4" w:space="0" w:color="auto"/>
              <w:left w:val="single" w:sz="4" w:space="0" w:color="auto"/>
              <w:bottom w:val="single" w:sz="4" w:space="0" w:color="auto"/>
              <w:right w:val="single" w:sz="4" w:space="0" w:color="auto"/>
            </w:tcBorders>
            <w:vAlign w:val="center"/>
            <w:hideMark/>
          </w:tcPr>
          <w:p w14:paraId="6118E45F" w14:textId="77777777" w:rsidR="00536D47" w:rsidRPr="00536D47" w:rsidRDefault="005D705A" w:rsidP="00536D47">
            <w:pPr>
              <w:pStyle w:val="Caption"/>
              <w:spacing w:after="0"/>
              <w:jc w:val="center"/>
              <w:rPr>
                <w:rFonts w:asciiTheme="minorHAnsi" w:hAnsiTheme="minorHAnsi" w:cs="Calibri"/>
                <w:b/>
                <w:i w:val="0"/>
                <w:color w:val="auto"/>
                <w:sz w:val="22"/>
                <w:szCs w:val="22"/>
              </w:rPr>
            </w:pPr>
            <w:bookmarkStart w:id="56" w:name="_Toc488854468"/>
            <w:bookmarkStart w:id="57" w:name="_Toc488854878"/>
            <w:bookmarkStart w:id="58" w:name="_Toc490140189"/>
            <w:r w:rsidRPr="00536D47">
              <w:rPr>
                <w:rFonts w:asciiTheme="minorHAnsi" w:hAnsiTheme="minorHAnsi" w:cs="Calibri"/>
                <w:b/>
                <w:i w:val="0"/>
                <w:color w:val="auto"/>
                <w:sz w:val="22"/>
                <w:szCs w:val="22"/>
              </w:rPr>
              <w:t>Emission Rate</w:t>
            </w:r>
            <w:bookmarkEnd w:id="56"/>
            <w:bookmarkEnd w:id="57"/>
            <w:bookmarkEnd w:id="58"/>
          </w:p>
          <w:p w14:paraId="12FDFEBC" w14:textId="77777777" w:rsidR="005D705A" w:rsidRPr="00536D47" w:rsidRDefault="005D705A" w:rsidP="00536D47">
            <w:pPr>
              <w:pStyle w:val="Caption"/>
              <w:spacing w:after="0"/>
              <w:jc w:val="center"/>
              <w:rPr>
                <w:b/>
                <w:i w:val="0"/>
                <w:color w:val="auto"/>
                <w:sz w:val="22"/>
                <w:szCs w:val="22"/>
              </w:rPr>
            </w:pPr>
            <w:bookmarkStart w:id="59" w:name="_Toc488854469"/>
            <w:bookmarkStart w:id="60" w:name="_Toc488854879"/>
            <w:bookmarkStart w:id="61" w:name="_Toc490140190"/>
            <w:r w:rsidRPr="00536D47">
              <w:rPr>
                <w:rFonts w:asciiTheme="minorHAnsi" w:hAnsiTheme="minorHAnsi" w:cs="Calibri"/>
                <w:b/>
                <w:i w:val="0"/>
                <w:color w:val="auto"/>
                <w:sz w:val="22"/>
                <w:szCs w:val="22"/>
              </w:rPr>
              <w:t>(</w:t>
            </w:r>
            <w:proofErr w:type="spellStart"/>
            <w:r w:rsidRPr="00536D47">
              <w:rPr>
                <w:rFonts w:asciiTheme="minorHAnsi" w:hAnsiTheme="minorHAnsi" w:cs="Calibri"/>
                <w:b/>
                <w:i w:val="0"/>
                <w:color w:val="auto"/>
                <w:sz w:val="22"/>
                <w:szCs w:val="22"/>
              </w:rPr>
              <w:t>lbs</w:t>
            </w:r>
            <w:proofErr w:type="spellEnd"/>
            <w:r w:rsidRPr="00536D47">
              <w:rPr>
                <w:rFonts w:asciiTheme="minorHAnsi" w:hAnsiTheme="minorHAnsi" w:cs="Calibri"/>
                <w:b/>
                <w:i w:val="0"/>
                <w:color w:val="auto"/>
                <w:sz w:val="22"/>
                <w:szCs w:val="22"/>
              </w:rPr>
              <w:t xml:space="preserve"> NOx/ton of clinker produced)</w:t>
            </w:r>
            <w:bookmarkEnd w:id="59"/>
            <w:bookmarkEnd w:id="60"/>
            <w:bookmarkEnd w:id="61"/>
          </w:p>
        </w:tc>
        <w:tc>
          <w:tcPr>
            <w:tcW w:w="2070" w:type="dxa"/>
            <w:tcBorders>
              <w:top w:val="single" w:sz="4" w:space="0" w:color="auto"/>
              <w:left w:val="single" w:sz="4" w:space="0" w:color="auto"/>
              <w:bottom w:val="single" w:sz="4" w:space="0" w:color="auto"/>
              <w:right w:val="single" w:sz="4" w:space="0" w:color="auto"/>
            </w:tcBorders>
            <w:vAlign w:val="center"/>
            <w:hideMark/>
          </w:tcPr>
          <w:p w14:paraId="35222D31" w14:textId="77777777" w:rsidR="005D705A" w:rsidRPr="00536D47" w:rsidRDefault="005D705A" w:rsidP="00536D47">
            <w:pPr>
              <w:pStyle w:val="Caption"/>
              <w:spacing w:after="0"/>
              <w:jc w:val="center"/>
              <w:rPr>
                <w:b/>
                <w:i w:val="0"/>
                <w:color w:val="auto"/>
                <w:sz w:val="22"/>
                <w:szCs w:val="22"/>
              </w:rPr>
            </w:pPr>
            <w:bookmarkStart w:id="62" w:name="_Toc488854470"/>
            <w:bookmarkStart w:id="63" w:name="_Toc488854880"/>
            <w:bookmarkStart w:id="64" w:name="_Toc490140191"/>
            <w:r w:rsidRPr="00536D47">
              <w:rPr>
                <w:rFonts w:asciiTheme="minorHAnsi" w:hAnsiTheme="minorHAnsi" w:cs="Calibri"/>
                <w:b/>
                <w:i w:val="0"/>
                <w:color w:val="auto"/>
                <w:sz w:val="22"/>
                <w:szCs w:val="22"/>
              </w:rPr>
              <w:t>% Reduction from Uncontrolled</w:t>
            </w:r>
            <w:bookmarkEnd w:id="62"/>
            <w:bookmarkEnd w:id="63"/>
            <w:bookmarkEnd w:id="64"/>
          </w:p>
        </w:tc>
      </w:tr>
      <w:tr w:rsidR="00536D47" w:rsidRPr="00536D47" w14:paraId="13D914EC" w14:textId="77777777" w:rsidTr="00D360AB">
        <w:tc>
          <w:tcPr>
            <w:tcW w:w="2401" w:type="dxa"/>
            <w:tcBorders>
              <w:top w:val="single" w:sz="4" w:space="0" w:color="auto"/>
              <w:left w:val="single" w:sz="4" w:space="0" w:color="auto"/>
              <w:bottom w:val="single" w:sz="4" w:space="0" w:color="auto"/>
              <w:right w:val="single" w:sz="4" w:space="0" w:color="auto"/>
            </w:tcBorders>
            <w:vAlign w:val="center"/>
            <w:hideMark/>
          </w:tcPr>
          <w:p w14:paraId="757C5682" w14:textId="77777777" w:rsidR="005D705A" w:rsidRPr="00536D47" w:rsidRDefault="005D705A" w:rsidP="00D360AB">
            <w:pPr>
              <w:pStyle w:val="Caption"/>
              <w:spacing w:after="0"/>
              <w:rPr>
                <w:i w:val="0"/>
                <w:color w:val="auto"/>
                <w:sz w:val="22"/>
                <w:szCs w:val="22"/>
              </w:rPr>
            </w:pPr>
            <w:bookmarkStart w:id="65" w:name="_Toc488854471"/>
            <w:bookmarkStart w:id="66" w:name="_Toc488854881"/>
            <w:bookmarkStart w:id="67" w:name="_Toc490140192"/>
            <w:r w:rsidRPr="00536D47">
              <w:rPr>
                <w:rFonts w:asciiTheme="minorHAnsi" w:hAnsiTheme="minorHAnsi" w:cs="Calibri"/>
                <w:i w:val="0"/>
                <w:color w:val="auto"/>
                <w:sz w:val="22"/>
                <w:szCs w:val="22"/>
              </w:rPr>
              <w:t>Wet Kiln</w:t>
            </w:r>
            <w:bookmarkEnd w:id="65"/>
            <w:bookmarkEnd w:id="66"/>
            <w:bookmarkEnd w:id="67"/>
          </w:p>
        </w:tc>
        <w:tc>
          <w:tcPr>
            <w:tcW w:w="3539" w:type="dxa"/>
            <w:tcBorders>
              <w:top w:val="single" w:sz="4" w:space="0" w:color="auto"/>
              <w:left w:val="single" w:sz="4" w:space="0" w:color="auto"/>
              <w:bottom w:val="single" w:sz="4" w:space="0" w:color="auto"/>
              <w:right w:val="single" w:sz="4" w:space="0" w:color="auto"/>
            </w:tcBorders>
            <w:vAlign w:val="center"/>
            <w:hideMark/>
          </w:tcPr>
          <w:p w14:paraId="3E0FAC8B" w14:textId="77777777" w:rsidR="005D705A" w:rsidRPr="00536D47" w:rsidRDefault="005D705A" w:rsidP="00536D47">
            <w:pPr>
              <w:pStyle w:val="Caption"/>
              <w:spacing w:after="0"/>
              <w:jc w:val="center"/>
              <w:rPr>
                <w:i w:val="0"/>
                <w:color w:val="auto"/>
                <w:sz w:val="22"/>
                <w:szCs w:val="22"/>
              </w:rPr>
            </w:pPr>
            <w:bookmarkStart w:id="68" w:name="_Toc488854472"/>
            <w:bookmarkStart w:id="69" w:name="_Toc488854882"/>
            <w:bookmarkStart w:id="70" w:name="_Toc490140193"/>
            <w:r w:rsidRPr="00536D47">
              <w:rPr>
                <w:rFonts w:asciiTheme="minorHAnsi" w:hAnsiTheme="minorHAnsi" w:cs="Calibri"/>
                <w:i w:val="0"/>
                <w:color w:val="auto"/>
                <w:sz w:val="22"/>
                <w:szCs w:val="22"/>
              </w:rPr>
              <w:t>3.88</w:t>
            </w:r>
            <w:bookmarkEnd w:id="68"/>
            <w:bookmarkEnd w:id="69"/>
            <w:bookmarkEnd w:id="70"/>
          </w:p>
        </w:tc>
        <w:tc>
          <w:tcPr>
            <w:tcW w:w="2070" w:type="dxa"/>
            <w:tcBorders>
              <w:top w:val="single" w:sz="4" w:space="0" w:color="auto"/>
              <w:left w:val="single" w:sz="4" w:space="0" w:color="auto"/>
              <w:bottom w:val="single" w:sz="4" w:space="0" w:color="auto"/>
              <w:right w:val="single" w:sz="4" w:space="0" w:color="auto"/>
            </w:tcBorders>
            <w:vAlign w:val="center"/>
            <w:hideMark/>
          </w:tcPr>
          <w:p w14:paraId="7A5B18F3" w14:textId="77777777" w:rsidR="005D705A" w:rsidRPr="00536D47" w:rsidRDefault="005D705A" w:rsidP="00536D47">
            <w:pPr>
              <w:pStyle w:val="Caption"/>
              <w:spacing w:after="0"/>
              <w:jc w:val="center"/>
              <w:rPr>
                <w:i w:val="0"/>
                <w:color w:val="auto"/>
                <w:sz w:val="22"/>
                <w:szCs w:val="22"/>
              </w:rPr>
            </w:pPr>
            <w:bookmarkStart w:id="71" w:name="_Toc488854473"/>
            <w:bookmarkStart w:id="72" w:name="_Toc488854883"/>
            <w:bookmarkStart w:id="73" w:name="_Toc490140194"/>
            <w:r w:rsidRPr="00536D47">
              <w:rPr>
                <w:i w:val="0"/>
                <w:color w:val="auto"/>
                <w:sz w:val="22"/>
                <w:szCs w:val="22"/>
              </w:rPr>
              <w:t>60</w:t>
            </w:r>
            <w:bookmarkEnd w:id="71"/>
            <w:bookmarkEnd w:id="72"/>
            <w:bookmarkEnd w:id="73"/>
          </w:p>
        </w:tc>
      </w:tr>
      <w:tr w:rsidR="00536D47" w:rsidRPr="00536D47" w14:paraId="1D394CBC" w14:textId="77777777" w:rsidTr="00D360AB">
        <w:tc>
          <w:tcPr>
            <w:tcW w:w="2401" w:type="dxa"/>
            <w:tcBorders>
              <w:top w:val="single" w:sz="4" w:space="0" w:color="auto"/>
              <w:left w:val="single" w:sz="4" w:space="0" w:color="auto"/>
              <w:bottom w:val="single" w:sz="4" w:space="0" w:color="auto"/>
              <w:right w:val="single" w:sz="4" w:space="0" w:color="auto"/>
            </w:tcBorders>
            <w:vAlign w:val="center"/>
            <w:hideMark/>
          </w:tcPr>
          <w:p w14:paraId="0A0451EB" w14:textId="77777777" w:rsidR="005D705A" w:rsidRPr="00536D47" w:rsidRDefault="005D705A" w:rsidP="00D360AB">
            <w:pPr>
              <w:pStyle w:val="Caption"/>
              <w:spacing w:after="0"/>
              <w:rPr>
                <w:i w:val="0"/>
                <w:color w:val="auto"/>
                <w:sz w:val="22"/>
                <w:szCs w:val="22"/>
              </w:rPr>
            </w:pPr>
            <w:bookmarkStart w:id="74" w:name="_Toc488854474"/>
            <w:bookmarkStart w:id="75" w:name="_Toc488854884"/>
            <w:bookmarkStart w:id="76" w:name="_Toc490140195"/>
            <w:r w:rsidRPr="00536D47">
              <w:rPr>
                <w:rFonts w:asciiTheme="minorHAnsi" w:hAnsiTheme="minorHAnsi" w:cs="Calibri"/>
                <w:i w:val="0"/>
                <w:color w:val="auto"/>
                <w:sz w:val="22"/>
                <w:szCs w:val="22"/>
              </w:rPr>
              <w:t>Long Dry Kiln</w:t>
            </w:r>
            <w:bookmarkEnd w:id="74"/>
            <w:bookmarkEnd w:id="75"/>
            <w:bookmarkEnd w:id="76"/>
          </w:p>
        </w:tc>
        <w:tc>
          <w:tcPr>
            <w:tcW w:w="3539" w:type="dxa"/>
            <w:tcBorders>
              <w:top w:val="single" w:sz="4" w:space="0" w:color="auto"/>
              <w:left w:val="single" w:sz="4" w:space="0" w:color="auto"/>
              <w:bottom w:val="single" w:sz="4" w:space="0" w:color="auto"/>
              <w:right w:val="single" w:sz="4" w:space="0" w:color="auto"/>
            </w:tcBorders>
            <w:vAlign w:val="center"/>
            <w:hideMark/>
          </w:tcPr>
          <w:p w14:paraId="62C74FFA" w14:textId="77777777" w:rsidR="005D705A" w:rsidRPr="00536D47" w:rsidRDefault="005D705A" w:rsidP="00536D47">
            <w:pPr>
              <w:pStyle w:val="Caption"/>
              <w:spacing w:after="0"/>
              <w:jc w:val="center"/>
              <w:rPr>
                <w:i w:val="0"/>
                <w:color w:val="auto"/>
                <w:sz w:val="22"/>
                <w:szCs w:val="22"/>
              </w:rPr>
            </w:pPr>
            <w:bookmarkStart w:id="77" w:name="_Toc488854475"/>
            <w:bookmarkStart w:id="78" w:name="_Toc488854885"/>
            <w:bookmarkStart w:id="79" w:name="_Toc490140196"/>
            <w:r w:rsidRPr="00536D47">
              <w:rPr>
                <w:i w:val="0"/>
                <w:color w:val="auto"/>
                <w:sz w:val="22"/>
                <w:szCs w:val="22"/>
              </w:rPr>
              <w:t>3.44</w:t>
            </w:r>
            <w:bookmarkEnd w:id="77"/>
            <w:bookmarkEnd w:id="78"/>
            <w:bookmarkEnd w:id="79"/>
          </w:p>
        </w:tc>
        <w:tc>
          <w:tcPr>
            <w:tcW w:w="2070" w:type="dxa"/>
            <w:tcBorders>
              <w:top w:val="single" w:sz="4" w:space="0" w:color="auto"/>
              <w:left w:val="single" w:sz="4" w:space="0" w:color="auto"/>
              <w:bottom w:val="single" w:sz="4" w:space="0" w:color="auto"/>
              <w:right w:val="single" w:sz="4" w:space="0" w:color="auto"/>
            </w:tcBorders>
            <w:vAlign w:val="center"/>
            <w:hideMark/>
          </w:tcPr>
          <w:p w14:paraId="13541F16" w14:textId="77777777" w:rsidR="005D705A" w:rsidRPr="00536D47" w:rsidRDefault="005D705A" w:rsidP="00536D47">
            <w:pPr>
              <w:pStyle w:val="Caption"/>
              <w:spacing w:after="0"/>
              <w:jc w:val="center"/>
              <w:rPr>
                <w:i w:val="0"/>
                <w:color w:val="auto"/>
                <w:sz w:val="22"/>
                <w:szCs w:val="22"/>
              </w:rPr>
            </w:pPr>
            <w:bookmarkStart w:id="80" w:name="_Toc488854476"/>
            <w:bookmarkStart w:id="81" w:name="_Toc488854886"/>
            <w:bookmarkStart w:id="82" w:name="_Toc490140197"/>
            <w:r w:rsidRPr="00536D47">
              <w:rPr>
                <w:i w:val="0"/>
                <w:color w:val="auto"/>
                <w:sz w:val="22"/>
                <w:szCs w:val="22"/>
              </w:rPr>
              <w:t>60</w:t>
            </w:r>
            <w:bookmarkEnd w:id="80"/>
            <w:bookmarkEnd w:id="81"/>
            <w:bookmarkEnd w:id="82"/>
          </w:p>
        </w:tc>
      </w:tr>
      <w:tr w:rsidR="00536D47" w:rsidRPr="00536D47" w14:paraId="5CE51C38" w14:textId="77777777" w:rsidTr="00D360AB">
        <w:tc>
          <w:tcPr>
            <w:tcW w:w="2401" w:type="dxa"/>
            <w:tcBorders>
              <w:top w:val="single" w:sz="4" w:space="0" w:color="auto"/>
              <w:left w:val="single" w:sz="4" w:space="0" w:color="auto"/>
              <w:bottom w:val="single" w:sz="4" w:space="0" w:color="auto"/>
              <w:right w:val="single" w:sz="4" w:space="0" w:color="auto"/>
            </w:tcBorders>
            <w:vAlign w:val="center"/>
            <w:hideMark/>
          </w:tcPr>
          <w:p w14:paraId="3A41958C" w14:textId="77777777" w:rsidR="005D705A" w:rsidRPr="00536D47" w:rsidRDefault="005D705A" w:rsidP="00D360AB">
            <w:pPr>
              <w:pStyle w:val="Caption"/>
              <w:spacing w:after="0"/>
              <w:rPr>
                <w:i w:val="0"/>
                <w:color w:val="auto"/>
                <w:sz w:val="22"/>
                <w:szCs w:val="22"/>
              </w:rPr>
            </w:pPr>
            <w:bookmarkStart w:id="83" w:name="_Toc488854477"/>
            <w:bookmarkStart w:id="84" w:name="_Toc488854887"/>
            <w:bookmarkStart w:id="85" w:name="_Toc490140198"/>
            <w:r w:rsidRPr="00536D47">
              <w:rPr>
                <w:rFonts w:asciiTheme="minorHAnsi" w:hAnsiTheme="minorHAnsi" w:cs="Calibri"/>
                <w:i w:val="0"/>
                <w:color w:val="auto"/>
                <w:sz w:val="22"/>
                <w:szCs w:val="22"/>
              </w:rPr>
              <w:t>(Dry) Preheater Kiln</w:t>
            </w:r>
            <w:bookmarkEnd w:id="83"/>
            <w:bookmarkEnd w:id="84"/>
            <w:bookmarkEnd w:id="85"/>
          </w:p>
        </w:tc>
        <w:tc>
          <w:tcPr>
            <w:tcW w:w="3539" w:type="dxa"/>
            <w:tcBorders>
              <w:top w:val="single" w:sz="4" w:space="0" w:color="auto"/>
              <w:left w:val="single" w:sz="4" w:space="0" w:color="auto"/>
              <w:bottom w:val="single" w:sz="4" w:space="0" w:color="auto"/>
              <w:right w:val="single" w:sz="4" w:space="0" w:color="auto"/>
            </w:tcBorders>
            <w:vAlign w:val="center"/>
            <w:hideMark/>
          </w:tcPr>
          <w:p w14:paraId="0113001E" w14:textId="77777777" w:rsidR="005D705A" w:rsidRPr="00536D47" w:rsidRDefault="005D705A" w:rsidP="00536D47">
            <w:pPr>
              <w:pStyle w:val="Caption"/>
              <w:spacing w:after="0"/>
              <w:jc w:val="center"/>
              <w:rPr>
                <w:i w:val="0"/>
                <w:color w:val="auto"/>
                <w:sz w:val="22"/>
                <w:szCs w:val="22"/>
              </w:rPr>
            </w:pPr>
            <w:bookmarkStart w:id="86" w:name="_Toc488854478"/>
            <w:bookmarkStart w:id="87" w:name="_Toc488854888"/>
            <w:bookmarkStart w:id="88" w:name="_Toc490140199"/>
            <w:r w:rsidRPr="00536D47">
              <w:rPr>
                <w:i w:val="0"/>
                <w:color w:val="auto"/>
                <w:sz w:val="22"/>
                <w:szCs w:val="22"/>
              </w:rPr>
              <w:t>2.36</w:t>
            </w:r>
            <w:bookmarkEnd w:id="86"/>
            <w:bookmarkEnd w:id="87"/>
            <w:bookmarkEnd w:id="88"/>
          </w:p>
        </w:tc>
        <w:tc>
          <w:tcPr>
            <w:tcW w:w="2070" w:type="dxa"/>
            <w:tcBorders>
              <w:top w:val="single" w:sz="4" w:space="0" w:color="auto"/>
              <w:left w:val="single" w:sz="4" w:space="0" w:color="auto"/>
              <w:bottom w:val="single" w:sz="4" w:space="0" w:color="auto"/>
              <w:right w:val="single" w:sz="4" w:space="0" w:color="auto"/>
            </w:tcBorders>
            <w:vAlign w:val="center"/>
            <w:hideMark/>
          </w:tcPr>
          <w:p w14:paraId="50F833B9" w14:textId="77777777" w:rsidR="005D705A" w:rsidRPr="00536D47" w:rsidRDefault="005D705A" w:rsidP="00536D47">
            <w:pPr>
              <w:pStyle w:val="Caption"/>
              <w:spacing w:after="0"/>
              <w:jc w:val="center"/>
              <w:rPr>
                <w:i w:val="0"/>
                <w:color w:val="auto"/>
                <w:sz w:val="22"/>
                <w:szCs w:val="22"/>
              </w:rPr>
            </w:pPr>
            <w:bookmarkStart w:id="89" w:name="_Toc488854479"/>
            <w:bookmarkStart w:id="90" w:name="_Toc488854889"/>
            <w:bookmarkStart w:id="91" w:name="_Toc490140200"/>
            <w:r w:rsidRPr="00536D47">
              <w:rPr>
                <w:i w:val="0"/>
                <w:color w:val="auto"/>
                <w:sz w:val="22"/>
                <w:szCs w:val="22"/>
              </w:rPr>
              <w:t>60</w:t>
            </w:r>
            <w:bookmarkEnd w:id="89"/>
            <w:bookmarkEnd w:id="90"/>
            <w:bookmarkEnd w:id="91"/>
          </w:p>
        </w:tc>
      </w:tr>
      <w:tr w:rsidR="00536D47" w:rsidRPr="00536D47" w14:paraId="452DBB38" w14:textId="77777777" w:rsidTr="00D360AB">
        <w:tc>
          <w:tcPr>
            <w:tcW w:w="2401" w:type="dxa"/>
            <w:tcBorders>
              <w:top w:val="single" w:sz="4" w:space="0" w:color="auto"/>
              <w:left w:val="single" w:sz="4" w:space="0" w:color="auto"/>
              <w:bottom w:val="single" w:sz="4" w:space="0" w:color="auto"/>
              <w:right w:val="single" w:sz="4" w:space="0" w:color="auto"/>
            </w:tcBorders>
            <w:vAlign w:val="center"/>
            <w:hideMark/>
          </w:tcPr>
          <w:p w14:paraId="5C7877BE" w14:textId="77777777" w:rsidR="005D705A" w:rsidRPr="00536D47" w:rsidRDefault="005D705A" w:rsidP="00D360AB">
            <w:pPr>
              <w:pStyle w:val="Caption"/>
              <w:spacing w:after="0"/>
              <w:rPr>
                <w:i w:val="0"/>
                <w:color w:val="auto"/>
                <w:sz w:val="22"/>
                <w:szCs w:val="22"/>
              </w:rPr>
            </w:pPr>
            <w:bookmarkStart w:id="92" w:name="_Toc488854480"/>
            <w:bookmarkStart w:id="93" w:name="_Toc488854890"/>
            <w:bookmarkStart w:id="94" w:name="_Toc490140201"/>
            <w:r w:rsidRPr="00536D47">
              <w:rPr>
                <w:rFonts w:asciiTheme="minorHAnsi" w:hAnsiTheme="minorHAnsi" w:cs="Calibri"/>
                <w:i w:val="0"/>
                <w:color w:val="auto"/>
                <w:sz w:val="22"/>
                <w:szCs w:val="22"/>
              </w:rPr>
              <w:t xml:space="preserve">(Dry) </w:t>
            </w:r>
            <w:proofErr w:type="spellStart"/>
            <w:r w:rsidRPr="00536D47">
              <w:rPr>
                <w:rFonts w:asciiTheme="minorHAnsi" w:hAnsiTheme="minorHAnsi" w:cs="Calibri"/>
                <w:i w:val="0"/>
                <w:color w:val="auto"/>
                <w:sz w:val="22"/>
                <w:szCs w:val="22"/>
              </w:rPr>
              <w:t>Precalciner</w:t>
            </w:r>
            <w:proofErr w:type="spellEnd"/>
            <w:r w:rsidRPr="00536D47">
              <w:rPr>
                <w:rFonts w:asciiTheme="minorHAnsi" w:hAnsiTheme="minorHAnsi" w:cs="Calibri"/>
                <w:i w:val="0"/>
                <w:color w:val="auto"/>
                <w:sz w:val="22"/>
                <w:szCs w:val="22"/>
              </w:rPr>
              <w:t xml:space="preserve"> Kiln</w:t>
            </w:r>
            <w:bookmarkEnd w:id="92"/>
            <w:bookmarkEnd w:id="93"/>
            <w:bookmarkEnd w:id="94"/>
          </w:p>
        </w:tc>
        <w:tc>
          <w:tcPr>
            <w:tcW w:w="3539" w:type="dxa"/>
            <w:tcBorders>
              <w:top w:val="single" w:sz="4" w:space="0" w:color="auto"/>
              <w:left w:val="single" w:sz="4" w:space="0" w:color="auto"/>
              <w:bottom w:val="single" w:sz="4" w:space="0" w:color="auto"/>
              <w:right w:val="single" w:sz="4" w:space="0" w:color="auto"/>
            </w:tcBorders>
            <w:vAlign w:val="center"/>
            <w:hideMark/>
          </w:tcPr>
          <w:p w14:paraId="1496A757" w14:textId="77777777" w:rsidR="005D705A" w:rsidRPr="00536D47" w:rsidRDefault="005D705A" w:rsidP="00536D47">
            <w:pPr>
              <w:pStyle w:val="Caption"/>
              <w:spacing w:after="0"/>
              <w:jc w:val="center"/>
              <w:rPr>
                <w:i w:val="0"/>
                <w:color w:val="auto"/>
                <w:sz w:val="22"/>
                <w:szCs w:val="22"/>
              </w:rPr>
            </w:pPr>
            <w:bookmarkStart w:id="95" w:name="_Toc488854481"/>
            <w:bookmarkStart w:id="96" w:name="_Toc488854891"/>
            <w:bookmarkStart w:id="97" w:name="_Toc490140202"/>
            <w:r w:rsidRPr="00536D47">
              <w:rPr>
                <w:i w:val="0"/>
                <w:color w:val="auto"/>
                <w:sz w:val="22"/>
                <w:szCs w:val="22"/>
              </w:rPr>
              <w:t>1.52</w:t>
            </w:r>
            <w:bookmarkEnd w:id="95"/>
            <w:bookmarkEnd w:id="96"/>
            <w:bookmarkEnd w:id="97"/>
          </w:p>
        </w:tc>
        <w:tc>
          <w:tcPr>
            <w:tcW w:w="2070" w:type="dxa"/>
            <w:tcBorders>
              <w:top w:val="single" w:sz="4" w:space="0" w:color="auto"/>
              <w:left w:val="single" w:sz="4" w:space="0" w:color="auto"/>
              <w:bottom w:val="single" w:sz="4" w:space="0" w:color="auto"/>
              <w:right w:val="single" w:sz="4" w:space="0" w:color="auto"/>
            </w:tcBorders>
            <w:vAlign w:val="center"/>
            <w:hideMark/>
          </w:tcPr>
          <w:p w14:paraId="729E7CFC" w14:textId="77777777" w:rsidR="005D705A" w:rsidRPr="00536D47" w:rsidRDefault="005D705A" w:rsidP="00536D47">
            <w:pPr>
              <w:pStyle w:val="Caption"/>
              <w:spacing w:after="0"/>
              <w:jc w:val="center"/>
              <w:rPr>
                <w:i w:val="0"/>
                <w:color w:val="auto"/>
                <w:sz w:val="22"/>
                <w:szCs w:val="22"/>
              </w:rPr>
            </w:pPr>
            <w:bookmarkStart w:id="98" w:name="_Toc488854482"/>
            <w:bookmarkStart w:id="99" w:name="_Toc488854892"/>
            <w:bookmarkStart w:id="100" w:name="_Toc490140203"/>
            <w:r w:rsidRPr="00536D47">
              <w:rPr>
                <w:i w:val="0"/>
                <w:color w:val="auto"/>
                <w:sz w:val="22"/>
                <w:szCs w:val="22"/>
              </w:rPr>
              <w:t>60</w:t>
            </w:r>
            <w:bookmarkEnd w:id="98"/>
            <w:bookmarkEnd w:id="99"/>
            <w:bookmarkEnd w:id="100"/>
          </w:p>
        </w:tc>
      </w:tr>
    </w:tbl>
    <w:p w14:paraId="06742DF0" w14:textId="77777777" w:rsidR="009B0A67" w:rsidRDefault="009B0A67" w:rsidP="008B38B5">
      <w:pPr>
        <w:pStyle w:val="Heading3"/>
      </w:pPr>
      <w:bookmarkStart w:id="101" w:name="_Toc491349938"/>
      <w:bookmarkStart w:id="102" w:name="_Toc488854484"/>
      <w:bookmarkStart w:id="103" w:name="_Toc488854894"/>
      <w:bookmarkStart w:id="104" w:name="_Toc490140205"/>
      <w:r>
        <w:t>Recommendations for NOx Emissions Control</w:t>
      </w:r>
      <w:bookmarkEnd w:id="101"/>
      <w:r>
        <w:t xml:space="preserve"> </w:t>
      </w:r>
    </w:p>
    <w:p w14:paraId="3212F474" w14:textId="77777777" w:rsidR="000C55B5" w:rsidRPr="008A13FB" w:rsidRDefault="00C90D75" w:rsidP="000C55B5">
      <w:pPr>
        <w:pStyle w:val="Caption"/>
        <w:spacing w:after="60"/>
        <w:ind w:left="360"/>
        <w:rPr>
          <w:i w:val="0"/>
          <w:color w:val="auto"/>
          <w:sz w:val="24"/>
          <w:szCs w:val="24"/>
        </w:rPr>
      </w:pPr>
      <w:r w:rsidRPr="00180B60">
        <w:rPr>
          <w:i w:val="0"/>
          <w:color w:val="auto"/>
          <w:sz w:val="24"/>
          <w:szCs w:val="24"/>
        </w:rPr>
        <w:t>Based</w:t>
      </w:r>
      <w:r>
        <w:rPr>
          <w:i w:val="0"/>
          <w:color w:val="auto"/>
          <w:sz w:val="24"/>
          <w:szCs w:val="24"/>
        </w:rPr>
        <w:t xml:space="preserve"> on the control </w:t>
      </w:r>
      <w:r w:rsidRPr="008A13FB">
        <w:rPr>
          <w:i w:val="0"/>
          <w:color w:val="auto"/>
          <w:sz w:val="24"/>
          <w:szCs w:val="24"/>
        </w:rPr>
        <w:t>costs of the SCR and SNCR Systems, and the reduction benefits afforded by various types of kilns</w:t>
      </w:r>
      <w:r w:rsidR="007F695A" w:rsidRPr="008A13FB">
        <w:rPr>
          <w:i w:val="0"/>
          <w:color w:val="auto"/>
          <w:sz w:val="24"/>
          <w:szCs w:val="24"/>
        </w:rPr>
        <w:t xml:space="preserve">, and following </w:t>
      </w:r>
      <w:r w:rsidR="00162E64">
        <w:rPr>
          <w:i w:val="0"/>
          <w:color w:val="auto"/>
          <w:sz w:val="24"/>
          <w:szCs w:val="24"/>
        </w:rPr>
        <w:t xml:space="preserve">the </w:t>
      </w:r>
      <w:r w:rsidR="00162E64" w:rsidRPr="008A13FB">
        <w:rPr>
          <w:i w:val="0"/>
          <w:color w:val="auto"/>
          <w:sz w:val="24"/>
          <w:szCs w:val="24"/>
        </w:rPr>
        <w:t>ACT guidelines</w:t>
      </w:r>
      <w:r w:rsidR="00162E64">
        <w:rPr>
          <w:i w:val="0"/>
          <w:color w:val="auto"/>
          <w:sz w:val="24"/>
          <w:szCs w:val="24"/>
        </w:rPr>
        <w:t xml:space="preserve"> and Cement NSPS</w:t>
      </w:r>
      <w:r w:rsidR="00162E64" w:rsidRPr="008A13FB">
        <w:rPr>
          <w:i w:val="0"/>
          <w:color w:val="auto"/>
          <w:sz w:val="24"/>
          <w:szCs w:val="24"/>
        </w:rPr>
        <w:t xml:space="preserve">, </w:t>
      </w:r>
      <w:r w:rsidR="000C55B5">
        <w:rPr>
          <w:i w:val="0"/>
          <w:color w:val="auto"/>
          <w:sz w:val="24"/>
          <w:szCs w:val="24"/>
        </w:rPr>
        <w:t>the workgroup offers</w:t>
      </w:r>
      <w:r w:rsidR="000C55B5" w:rsidRPr="008A13FB">
        <w:rPr>
          <w:i w:val="0"/>
          <w:color w:val="auto"/>
          <w:sz w:val="24"/>
          <w:szCs w:val="24"/>
        </w:rPr>
        <w:t xml:space="preserve"> the following recommendations to control NOx emissions from cement kilns</w:t>
      </w:r>
      <w:r w:rsidR="000C55B5">
        <w:rPr>
          <w:i w:val="0"/>
          <w:color w:val="auto"/>
          <w:sz w:val="24"/>
          <w:szCs w:val="24"/>
        </w:rPr>
        <w:t>, where applicable,</w:t>
      </w:r>
      <w:r w:rsidR="000C55B5" w:rsidRPr="008A13FB">
        <w:rPr>
          <w:i w:val="0"/>
          <w:color w:val="auto"/>
          <w:sz w:val="24"/>
          <w:szCs w:val="24"/>
        </w:rPr>
        <w:t xml:space="preserve"> </w:t>
      </w:r>
      <w:r w:rsidR="000C55B5">
        <w:rPr>
          <w:i w:val="0"/>
          <w:color w:val="auto"/>
          <w:sz w:val="24"/>
          <w:szCs w:val="24"/>
        </w:rPr>
        <w:t>for all</w:t>
      </w:r>
      <w:r w:rsidR="000C55B5" w:rsidRPr="008A13FB">
        <w:rPr>
          <w:i w:val="0"/>
          <w:color w:val="auto"/>
          <w:sz w:val="24"/>
          <w:szCs w:val="24"/>
        </w:rPr>
        <w:t xml:space="preserve"> states:</w:t>
      </w:r>
    </w:p>
    <w:bookmarkEnd w:id="102"/>
    <w:bookmarkEnd w:id="103"/>
    <w:bookmarkEnd w:id="104"/>
    <w:p w14:paraId="1C38DCAF" w14:textId="77777777" w:rsidR="005D705A" w:rsidRPr="000C55B5" w:rsidRDefault="008A13FB" w:rsidP="000C55B5">
      <w:pPr>
        <w:pStyle w:val="Caption"/>
        <w:numPr>
          <w:ilvl w:val="0"/>
          <w:numId w:val="25"/>
        </w:numPr>
        <w:spacing w:after="0"/>
        <w:rPr>
          <w:i w:val="0"/>
          <w:color w:val="000000" w:themeColor="text1"/>
          <w:sz w:val="24"/>
          <w:szCs w:val="24"/>
        </w:rPr>
      </w:pPr>
      <w:r w:rsidRPr="000C55B5">
        <w:rPr>
          <w:i w:val="0"/>
          <w:color w:val="000000" w:themeColor="text1"/>
          <w:sz w:val="24"/>
          <w:szCs w:val="24"/>
        </w:rPr>
        <w:lastRenderedPageBreak/>
        <w:t>I</w:t>
      </w:r>
      <w:r w:rsidR="005D705A" w:rsidRPr="000C55B5">
        <w:rPr>
          <w:i w:val="0"/>
          <w:color w:val="000000" w:themeColor="text1"/>
          <w:sz w:val="24"/>
          <w:szCs w:val="24"/>
        </w:rPr>
        <w:t xml:space="preserve">nstall low </w:t>
      </w:r>
      <w:r w:rsidRPr="000C55B5">
        <w:rPr>
          <w:i w:val="0"/>
          <w:color w:val="000000" w:themeColor="text1"/>
          <w:sz w:val="24"/>
          <w:szCs w:val="24"/>
        </w:rPr>
        <w:t xml:space="preserve">NOx </w:t>
      </w:r>
      <w:r w:rsidR="005D705A" w:rsidRPr="000C55B5">
        <w:rPr>
          <w:i w:val="0"/>
          <w:color w:val="000000" w:themeColor="text1"/>
          <w:sz w:val="24"/>
          <w:szCs w:val="24"/>
        </w:rPr>
        <w:t xml:space="preserve">burners on </w:t>
      </w:r>
      <w:r w:rsidRPr="000C55B5">
        <w:rPr>
          <w:i w:val="0"/>
          <w:color w:val="000000" w:themeColor="text1"/>
          <w:sz w:val="24"/>
          <w:szCs w:val="24"/>
        </w:rPr>
        <w:t>all</w:t>
      </w:r>
      <w:r w:rsidR="005D705A" w:rsidRPr="000C55B5">
        <w:rPr>
          <w:i w:val="0"/>
          <w:color w:val="000000" w:themeColor="text1"/>
          <w:sz w:val="24"/>
          <w:szCs w:val="24"/>
        </w:rPr>
        <w:t xml:space="preserve"> kiln</w:t>
      </w:r>
      <w:r w:rsidRPr="000C55B5">
        <w:rPr>
          <w:i w:val="0"/>
          <w:color w:val="000000" w:themeColor="text1"/>
          <w:sz w:val="24"/>
          <w:szCs w:val="24"/>
        </w:rPr>
        <w:t>s</w:t>
      </w:r>
      <w:r w:rsidR="005D705A" w:rsidRPr="000C55B5">
        <w:rPr>
          <w:i w:val="0"/>
          <w:color w:val="000000" w:themeColor="text1"/>
          <w:sz w:val="24"/>
          <w:szCs w:val="24"/>
        </w:rPr>
        <w:t xml:space="preserve"> </w:t>
      </w:r>
    </w:p>
    <w:p w14:paraId="4C76F78C" w14:textId="77777777" w:rsidR="005D705A" w:rsidRPr="000C55B5" w:rsidRDefault="008A13FB" w:rsidP="000C55B5">
      <w:pPr>
        <w:pStyle w:val="ListParagraph"/>
        <w:numPr>
          <w:ilvl w:val="0"/>
          <w:numId w:val="17"/>
        </w:numPr>
        <w:contextualSpacing w:val="0"/>
        <w:rPr>
          <w:color w:val="000000" w:themeColor="text1"/>
        </w:rPr>
      </w:pPr>
      <w:r w:rsidRPr="000C55B5">
        <w:rPr>
          <w:color w:val="000000" w:themeColor="text1"/>
        </w:rPr>
        <w:t xml:space="preserve">Modify </w:t>
      </w:r>
      <w:r w:rsidR="005D705A" w:rsidRPr="000C55B5">
        <w:rPr>
          <w:color w:val="000000" w:themeColor="text1"/>
        </w:rPr>
        <w:t xml:space="preserve">each kiln to implement mid-kiln firing </w:t>
      </w:r>
    </w:p>
    <w:p w14:paraId="0B0384C3" w14:textId="77777777" w:rsidR="005419C0" w:rsidRPr="000C55B5" w:rsidRDefault="005419C0" w:rsidP="008A13FB">
      <w:pPr>
        <w:pStyle w:val="ListParagraph"/>
        <w:numPr>
          <w:ilvl w:val="0"/>
          <w:numId w:val="17"/>
        </w:numPr>
        <w:rPr>
          <w:color w:val="000000" w:themeColor="text1"/>
        </w:rPr>
      </w:pPr>
      <w:r w:rsidRPr="000C55B5">
        <w:rPr>
          <w:color w:val="000000" w:themeColor="text1"/>
        </w:rPr>
        <w:t xml:space="preserve">Install post-combustion SNCR </w:t>
      </w:r>
    </w:p>
    <w:p w14:paraId="2108EA95" w14:textId="77777777" w:rsidR="005D705A" w:rsidRPr="008A13FB" w:rsidRDefault="008A13FB" w:rsidP="008A13FB">
      <w:pPr>
        <w:pStyle w:val="ListParagraph"/>
        <w:numPr>
          <w:ilvl w:val="0"/>
          <w:numId w:val="17"/>
        </w:numPr>
      </w:pPr>
      <w:r w:rsidRPr="008A13FB">
        <w:t>Convert</w:t>
      </w:r>
      <w:r w:rsidR="00AA43B4" w:rsidRPr="008A13FB">
        <w:t xml:space="preserve"> and retrofit </w:t>
      </w:r>
      <w:r w:rsidR="005D705A" w:rsidRPr="008A13FB">
        <w:t xml:space="preserve">a wet process cement kiln to the more efficient dry cement manufacturing process.  </w:t>
      </w:r>
    </w:p>
    <w:p w14:paraId="6E1C2361" w14:textId="77777777" w:rsidR="0096148E" w:rsidRDefault="008A13FB" w:rsidP="00BA5A29">
      <w:pPr>
        <w:spacing w:before="200" w:after="200"/>
        <w:ind w:left="360"/>
      </w:pPr>
      <w:r>
        <w:t xml:space="preserve">For effective reduction in NOx and ozone levels across the region, </w:t>
      </w:r>
      <w:r w:rsidR="005D705A">
        <w:t xml:space="preserve">the NOx emission limits </w:t>
      </w:r>
      <w:r>
        <w:t>from the cement manufacturing sector</w:t>
      </w:r>
      <w:r w:rsidR="00A61B48">
        <w:t>,</w:t>
      </w:r>
      <w:r w:rsidR="002712A4">
        <w:t xml:space="preserve"> </w:t>
      </w:r>
      <w:r>
        <w:t xml:space="preserve">particularly from those plants employing wet kilns and dry kilns without a </w:t>
      </w:r>
      <w:proofErr w:type="spellStart"/>
      <w:r>
        <w:t>precalciner</w:t>
      </w:r>
      <w:proofErr w:type="spellEnd"/>
      <w:r w:rsidR="00A61B48">
        <w:t>,</w:t>
      </w:r>
      <w:r>
        <w:t xml:space="preserve"> must </w:t>
      </w:r>
      <w:r w:rsidR="005D705A">
        <w:t xml:space="preserve">be </w:t>
      </w:r>
      <w:r>
        <w:t>made more stringent</w:t>
      </w:r>
      <w:r w:rsidR="004731DB" w:rsidRPr="004731DB">
        <w:t xml:space="preserve"> </w:t>
      </w:r>
      <w:r w:rsidR="004731DB">
        <w:t>for all states</w:t>
      </w:r>
      <w:r>
        <w:t xml:space="preserve">. </w:t>
      </w:r>
    </w:p>
    <w:p w14:paraId="4886247E" w14:textId="77777777" w:rsidR="004731DB" w:rsidRDefault="00C77F94" w:rsidP="004731DB">
      <w:pPr>
        <w:spacing w:after="200"/>
        <w:ind w:left="360"/>
        <w:rPr>
          <w:rFonts w:cs="Calibri"/>
          <w:color w:val="000000"/>
          <w:szCs w:val="24"/>
        </w:rPr>
      </w:pPr>
      <w:r>
        <w:t xml:space="preserve">We recommend that states outside of the OTR covered by CSAPR U implement NOx rates </w:t>
      </w:r>
      <w:r w:rsidR="000C55B5">
        <w:t xml:space="preserve">consistent with </w:t>
      </w:r>
      <w:r>
        <w:t xml:space="preserve">the </w:t>
      </w:r>
      <w:r>
        <w:rPr>
          <w:rFonts w:cs="Calibri"/>
          <w:color w:val="000000"/>
          <w:szCs w:val="24"/>
        </w:rPr>
        <w:t xml:space="preserve">02/28/2007 “Identification and Evaluation of Candidate Control Measures Final Technical Support Document”. </w:t>
      </w:r>
      <w:r w:rsidR="00217119">
        <w:rPr>
          <w:rFonts w:cs="Calibri"/>
          <w:color w:val="000000"/>
          <w:szCs w:val="24"/>
        </w:rPr>
        <w:t xml:space="preserve"> Additionally, and coincidental to </w:t>
      </w:r>
      <w:r w:rsidR="000C55B5">
        <w:rPr>
          <w:rFonts w:cs="Calibri"/>
          <w:color w:val="000000"/>
          <w:szCs w:val="24"/>
        </w:rPr>
        <w:t xml:space="preserve">the </w:t>
      </w:r>
      <w:r w:rsidR="00217119">
        <w:rPr>
          <w:rFonts w:cs="Calibri"/>
          <w:color w:val="000000"/>
          <w:szCs w:val="24"/>
        </w:rPr>
        <w:t>EPA ACT, modifying or replacing all wet kilns to modern technology should be considered feasible.</w:t>
      </w:r>
      <w:r w:rsidR="004731DB">
        <w:rPr>
          <w:rFonts w:cs="Calibri"/>
          <w:color w:val="000000"/>
          <w:szCs w:val="24"/>
        </w:rPr>
        <w:t xml:space="preserve"> In 2017 all OTR States with cement kilns have regulations meeting the proposed rates. All CSAPR U States should adopt the same, which will result in reductions in transported NOx to the OTR.</w:t>
      </w:r>
    </w:p>
    <w:p w14:paraId="5D32D11C" w14:textId="3D5EEB63" w:rsidR="000C55B5" w:rsidRDefault="00BA5A29" w:rsidP="000C55B5">
      <w:pPr>
        <w:spacing w:after="200"/>
        <w:ind w:left="360"/>
      </w:pPr>
      <w:r>
        <w:t xml:space="preserve">The emission benefits from the four types of kilns can be estimated from the NEI 2014 v1 database for Cement Manufacturing using SCC Level </w:t>
      </w:r>
      <w:r w:rsidR="00483244">
        <w:t>3</w:t>
      </w:r>
      <w:r>
        <w:t xml:space="preserve"> Code. </w:t>
      </w:r>
      <w:r w:rsidR="00E424C9">
        <w:t>According to the database,</w:t>
      </w:r>
      <w:r>
        <w:t xml:space="preserve"> there are 57 plants within the CSAPR U and OTR States, with 82 kiln units operating in 2014</w:t>
      </w:r>
      <w:r w:rsidR="00483244">
        <w:t>;</w:t>
      </w:r>
      <w:r>
        <w:t xml:space="preserve"> of which 1</w:t>
      </w:r>
      <w:r w:rsidR="00483244">
        <w:t>3</w:t>
      </w:r>
      <w:r>
        <w:t xml:space="preserve"> are coded in the database as wet kilns, 3</w:t>
      </w:r>
      <w:r w:rsidR="00483244">
        <w:t>4</w:t>
      </w:r>
      <w:r>
        <w:t xml:space="preserve"> as long dry kilns, 6 as </w:t>
      </w:r>
      <w:r w:rsidR="004731DB">
        <w:t>pre</w:t>
      </w:r>
      <w:r>
        <w:t xml:space="preserve">-heater kilns and 29 as PH/PC. </w:t>
      </w:r>
      <w:r w:rsidR="003E7A46">
        <w:t xml:space="preserve">See Appendix A for the complete list by State. </w:t>
      </w:r>
      <w:r>
        <w:t xml:space="preserve">It can also be assumed that cement plants operate more in the summer season than winter (for demand of product). </w:t>
      </w:r>
      <w:r w:rsidR="000C55B5">
        <w:t xml:space="preserve">Applying source specific reduction factors provides an estimate of annual NOx tons removed, as shown in Table 5.  </w:t>
      </w:r>
      <w:r w:rsidR="004569A4">
        <w:t>Assuming 365 days/year operation, the</w:t>
      </w:r>
      <w:r w:rsidR="000C55B5">
        <w:t xml:space="preserve"> data in Table 5 provides an estimated NOx emissions reduction ranging between </w:t>
      </w:r>
      <w:r w:rsidR="00483244">
        <w:t xml:space="preserve">26 </w:t>
      </w:r>
      <w:r w:rsidR="000C55B5">
        <w:t xml:space="preserve">– </w:t>
      </w:r>
      <w:r w:rsidR="005F3CDA">
        <w:t xml:space="preserve">59 </w:t>
      </w:r>
      <w:r w:rsidR="000C55B5">
        <w:t>tons per day (</w:t>
      </w:r>
      <w:proofErr w:type="spellStart"/>
      <w:r w:rsidR="000C55B5">
        <w:t>tpd</w:t>
      </w:r>
      <w:proofErr w:type="spellEnd"/>
      <w:r w:rsidR="000C55B5">
        <w:t>).</w:t>
      </w:r>
    </w:p>
    <w:p w14:paraId="018D0920" w14:textId="77777777" w:rsidR="00BA5A29" w:rsidRPr="00B86837" w:rsidRDefault="008B7D21" w:rsidP="00165B68">
      <w:pPr>
        <w:spacing w:after="60" w:line="240" w:lineRule="auto"/>
        <w:ind w:left="360"/>
        <w:rPr>
          <w:b/>
          <w:i/>
          <w:color w:val="000000" w:themeColor="text1"/>
          <w:sz w:val="22"/>
        </w:rPr>
      </w:pPr>
      <w:bookmarkStart w:id="105" w:name="_Toc490570605"/>
      <w:bookmarkStart w:id="106" w:name="_Toc491073914"/>
      <w:r w:rsidRPr="00B86837">
        <w:rPr>
          <w:b/>
          <w:color w:val="000000" w:themeColor="text1"/>
          <w:sz w:val="22"/>
        </w:rPr>
        <w:t xml:space="preserve">Table </w:t>
      </w:r>
      <w:r w:rsidR="00190587" w:rsidRPr="00B86837">
        <w:rPr>
          <w:b/>
          <w:i/>
          <w:color w:val="000000" w:themeColor="text1"/>
          <w:sz w:val="22"/>
        </w:rPr>
        <w:fldChar w:fldCharType="begin"/>
      </w:r>
      <w:r w:rsidRPr="00B86837">
        <w:rPr>
          <w:b/>
          <w:color w:val="000000" w:themeColor="text1"/>
          <w:sz w:val="22"/>
        </w:rPr>
        <w:instrText xml:space="preserve"> SEQ Table \* ARABIC </w:instrText>
      </w:r>
      <w:r w:rsidR="00190587" w:rsidRPr="00B86837">
        <w:rPr>
          <w:b/>
          <w:i/>
          <w:color w:val="000000" w:themeColor="text1"/>
          <w:sz w:val="22"/>
        </w:rPr>
        <w:fldChar w:fldCharType="separate"/>
      </w:r>
      <w:r w:rsidR="006F2830" w:rsidRPr="00B86837">
        <w:rPr>
          <w:b/>
          <w:noProof/>
          <w:color w:val="000000" w:themeColor="text1"/>
          <w:sz w:val="22"/>
        </w:rPr>
        <w:t>5</w:t>
      </w:r>
      <w:r w:rsidR="00190587" w:rsidRPr="00B86837">
        <w:rPr>
          <w:b/>
          <w:i/>
          <w:color w:val="000000" w:themeColor="text1"/>
          <w:sz w:val="22"/>
        </w:rPr>
        <w:fldChar w:fldCharType="end"/>
      </w:r>
      <w:r w:rsidRPr="00B86837">
        <w:rPr>
          <w:b/>
          <w:color w:val="000000" w:themeColor="text1"/>
          <w:sz w:val="22"/>
        </w:rPr>
        <w:t xml:space="preserve">  </w:t>
      </w:r>
      <w:r w:rsidR="00BA5A29" w:rsidRPr="00B86837">
        <w:rPr>
          <w:b/>
          <w:color w:val="000000" w:themeColor="text1"/>
          <w:sz w:val="22"/>
        </w:rPr>
        <w:t>Potential NOx Reduction from</w:t>
      </w:r>
      <w:r w:rsidR="00BA5A29" w:rsidRPr="00B86837">
        <w:rPr>
          <w:rFonts w:eastAsia="Times New Roman" w:cs="Times New Roman"/>
          <w:b/>
          <w:color w:val="000000" w:themeColor="text1"/>
          <w:sz w:val="22"/>
        </w:rPr>
        <w:t xml:space="preserve"> Cement Kilns in 19 States </w:t>
      </w:r>
      <w:r w:rsidR="00B86837" w:rsidRPr="00B86837">
        <w:rPr>
          <w:rFonts w:eastAsia="Times New Roman" w:cs="Times New Roman"/>
          <w:b/>
          <w:color w:val="000000" w:themeColor="text1"/>
          <w:sz w:val="22"/>
        </w:rPr>
        <w:t xml:space="preserve">within </w:t>
      </w:r>
      <w:r w:rsidR="00BA5A29" w:rsidRPr="00B86837">
        <w:rPr>
          <w:rFonts w:eastAsia="Times New Roman" w:cs="Times New Roman"/>
          <w:b/>
          <w:color w:val="000000" w:themeColor="text1"/>
          <w:sz w:val="22"/>
        </w:rPr>
        <w:t xml:space="preserve">CSAPR U and OTR, </w:t>
      </w:r>
      <w:r w:rsidR="00BA5A29" w:rsidRPr="00B86837">
        <w:rPr>
          <w:rFonts w:eastAsia="Times New Roman" w:cs="Times New Roman"/>
          <w:b/>
          <w:bCs/>
          <w:color w:val="000000" w:themeColor="text1"/>
          <w:sz w:val="22"/>
        </w:rPr>
        <w:t>Regardless of Regulations</w:t>
      </w:r>
      <w:bookmarkEnd w:id="105"/>
      <w:bookmarkEnd w:id="106"/>
      <w:r w:rsidR="00190587" w:rsidRPr="00B86837">
        <w:rPr>
          <w:rFonts w:eastAsia="Times New Roman" w:cs="Times New Roman"/>
          <w:b/>
          <w:bCs/>
          <w:i/>
          <w:color w:val="000000" w:themeColor="text1"/>
          <w:sz w:val="22"/>
        </w:rPr>
        <w:fldChar w:fldCharType="begin"/>
      </w:r>
      <w:r w:rsidRPr="00B86837">
        <w:rPr>
          <w:sz w:val="22"/>
        </w:rPr>
        <w:instrText xml:space="preserve"> XE "</w:instrText>
      </w:r>
      <w:r w:rsidRPr="00B86837">
        <w:rPr>
          <w:b/>
          <w:color w:val="000000" w:themeColor="text1"/>
          <w:sz w:val="22"/>
        </w:rPr>
        <w:instrText xml:space="preserve">Table </w:instrText>
      </w:r>
      <w:r w:rsidR="000C55B5" w:rsidRPr="00B86837">
        <w:rPr>
          <w:b/>
          <w:noProof/>
          <w:color w:val="000000" w:themeColor="text1"/>
          <w:sz w:val="22"/>
        </w:rPr>
        <w:instrText>5</w:instrText>
      </w:r>
      <w:r w:rsidR="000C55B5" w:rsidRPr="00B86837">
        <w:rPr>
          <w:b/>
          <w:color w:val="000000" w:themeColor="text1"/>
          <w:sz w:val="22"/>
        </w:rPr>
        <w:instrText xml:space="preserve">  </w:instrText>
      </w:r>
      <w:r w:rsidRPr="00B86837">
        <w:rPr>
          <w:b/>
          <w:color w:val="000000" w:themeColor="text1"/>
          <w:sz w:val="22"/>
        </w:rPr>
        <w:instrText>Potential NOx Reduction from</w:instrText>
      </w:r>
      <w:r w:rsidRPr="00B86837">
        <w:rPr>
          <w:rFonts w:eastAsia="Times New Roman" w:cs="Times New Roman"/>
          <w:b/>
          <w:color w:val="000000" w:themeColor="text1"/>
          <w:sz w:val="22"/>
        </w:rPr>
        <w:instrText xml:space="preserve"> Cement Kilns in 19 States </w:instrText>
      </w:r>
      <w:r w:rsidR="00B86837" w:rsidRPr="00B86837">
        <w:rPr>
          <w:rFonts w:eastAsia="Times New Roman" w:cs="Times New Roman"/>
          <w:b/>
          <w:color w:val="000000" w:themeColor="text1"/>
          <w:sz w:val="22"/>
        </w:rPr>
        <w:instrText xml:space="preserve">within </w:instrText>
      </w:r>
      <w:r w:rsidRPr="00B86837">
        <w:rPr>
          <w:rFonts w:eastAsia="Times New Roman" w:cs="Times New Roman"/>
          <w:b/>
          <w:color w:val="000000" w:themeColor="text1"/>
          <w:sz w:val="22"/>
        </w:rPr>
        <w:instrText xml:space="preserve">CSAPR U and OTR, </w:instrText>
      </w:r>
      <w:r w:rsidRPr="00B86837">
        <w:rPr>
          <w:rFonts w:eastAsia="Times New Roman" w:cs="Times New Roman"/>
          <w:b/>
          <w:bCs/>
          <w:color w:val="000000" w:themeColor="text1"/>
          <w:sz w:val="22"/>
        </w:rPr>
        <w:instrText>Regardless of Regulations</w:instrText>
      </w:r>
      <w:r w:rsidRPr="00B86837">
        <w:rPr>
          <w:sz w:val="22"/>
        </w:rPr>
        <w:instrText xml:space="preserve">" </w:instrText>
      </w:r>
      <w:r w:rsidR="00190587" w:rsidRPr="00B86837">
        <w:rPr>
          <w:rFonts w:eastAsia="Times New Roman" w:cs="Times New Roman"/>
          <w:b/>
          <w:bCs/>
          <w:i/>
          <w:color w:val="000000" w:themeColor="text1"/>
          <w:sz w:val="22"/>
        </w:rPr>
        <w:fldChar w:fldCharType="end"/>
      </w:r>
    </w:p>
    <w:tbl>
      <w:tblPr>
        <w:tblW w:w="901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58"/>
        <w:gridCol w:w="720"/>
        <w:gridCol w:w="727"/>
        <w:gridCol w:w="900"/>
        <w:gridCol w:w="1350"/>
        <w:gridCol w:w="1980"/>
        <w:gridCol w:w="1980"/>
      </w:tblGrid>
      <w:tr w:rsidR="00BA5A29" w14:paraId="1949EBA2" w14:textId="77777777" w:rsidTr="00891595">
        <w:trPr>
          <w:trHeight w:val="521"/>
          <w:jc w:val="center"/>
        </w:trPr>
        <w:tc>
          <w:tcPr>
            <w:tcW w:w="13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A3BDF6" w14:textId="77777777" w:rsidR="00BA5A29" w:rsidRDefault="00BA5A29">
            <w:pPr>
              <w:spacing w:line="240" w:lineRule="auto"/>
              <w:rPr>
                <w:rFonts w:eastAsia="Times New Roman" w:cs="Times New Roman"/>
                <w:bCs/>
                <w:sz w:val="22"/>
              </w:rPr>
            </w:pPr>
            <w:r>
              <w:rPr>
                <w:rFonts w:eastAsia="Times New Roman" w:cs="Times New Roman"/>
                <w:bCs/>
                <w:sz w:val="22"/>
              </w:rPr>
              <w:t>2014 NOx Emissions (</w:t>
            </w:r>
            <w:proofErr w:type="spellStart"/>
            <w:r>
              <w:rPr>
                <w:rFonts w:eastAsia="Times New Roman" w:cs="Times New Roman"/>
                <w:bCs/>
                <w:sz w:val="22"/>
              </w:rPr>
              <w:t>tpy</w:t>
            </w:r>
            <w:proofErr w:type="spellEnd"/>
            <w:r>
              <w:rPr>
                <w:rFonts w:eastAsia="Times New Roman" w:cs="Times New Roman"/>
                <w:bCs/>
                <w:sz w:val="22"/>
              </w:rPr>
              <w:t>)</w:t>
            </w:r>
          </w:p>
        </w:tc>
        <w:tc>
          <w:tcPr>
            <w:tcW w:w="369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BB35BA" w14:textId="77777777" w:rsidR="00BA5A29" w:rsidRDefault="00BA5A29">
            <w:pPr>
              <w:spacing w:line="240" w:lineRule="auto"/>
              <w:jc w:val="center"/>
              <w:rPr>
                <w:rFonts w:eastAsia="Times New Roman" w:cs="Times New Roman"/>
                <w:bCs/>
                <w:sz w:val="22"/>
              </w:rPr>
            </w:pPr>
            <w:r>
              <w:rPr>
                <w:rFonts w:eastAsia="Times New Roman" w:cs="Times New Roman"/>
                <w:bCs/>
                <w:sz w:val="22"/>
              </w:rPr>
              <w:t>Number of Units</w:t>
            </w:r>
          </w:p>
        </w:tc>
        <w:tc>
          <w:tcPr>
            <w:tcW w:w="39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08D7C2" w14:textId="77777777" w:rsidR="00BA5A29" w:rsidRDefault="00BA5A29">
            <w:pPr>
              <w:spacing w:line="240" w:lineRule="auto"/>
              <w:rPr>
                <w:rFonts w:eastAsia="Times New Roman" w:cs="Times New Roman"/>
                <w:bCs/>
                <w:sz w:val="22"/>
              </w:rPr>
            </w:pPr>
            <w:r>
              <w:rPr>
                <w:rFonts w:eastAsia="Times New Roman" w:cs="Times New Roman"/>
                <w:bCs/>
                <w:sz w:val="22"/>
              </w:rPr>
              <w:t>Potential Reduction (</w:t>
            </w:r>
            <w:proofErr w:type="spellStart"/>
            <w:r>
              <w:rPr>
                <w:rFonts w:eastAsia="Times New Roman" w:cs="Times New Roman"/>
                <w:bCs/>
                <w:sz w:val="22"/>
              </w:rPr>
              <w:t>tpy</w:t>
            </w:r>
            <w:proofErr w:type="spellEnd"/>
            <w:r>
              <w:rPr>
                <w:rFonts w:eastAsia="Times New Roman" w:cs="Times New Roman"/>
                <w:bCs/>
                <w:sz w:val="22"/>
              </w:rPr>
              <w:t xml:space="preserve">) Calculation Applying Following NOx Reduction % </w:t>
            </w:r>
          </w:p>
        </w:tc>
      </w:tr>
      <w:tr w:rsidR="00BA5A29" w14:paraId="0F2A3041" w14:textId="77777777" w:rsidTr="00BA5A29">
        <w:trPr>
          <w:trHeight w:val="989"/>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E15FE2" w14:textId="77777777" w:rsidR="00BA5A29" w:rsidRDefault="00BA5A29">
            <w:pPr>
              <w:rPr>
                <w:rFonts w:eastAsia="Times New Roman" w:cs="Times New Roman"/>
                <w:bCs/>
                <w:sz w:val="22"/>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82841DF" w14:textId="77777777" w:rsidR="00BA5A29" w:rsidRDefault="00BA5A29">
            <w:pPr>
              <w:spacing w:line="240" w:lineRule="auto"/>
              <w:rPr>
                <w:rFonts w:eastAsia="Times New Roman" w:cs="Times New Roman"/>
                <w:bCs/>
                <w:sz w:val="22"/>
              </w:rPr>
            </w:pPr>
            <w:r>
              <w:rPr>
                <w:rFonts w:eastAsia="Times New Roman" w:cs="Times New Roman"/>
                <w:bCs/>
                <w:sz w:val="22"/>
              </w:rPr>
              <w:t>Long Dry</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B73E538" w14:textId="77777777" w:rsidR="00BA5A29" w:rsidRDefault="00BA5A29">
            <w:pPr>
              <w:spacing w:line="240" w:lineRule="auto"/>
              <w:rPr>
                <w:rFonts w:eastAsia="Times New Roman" w:cs="Times New Roman"/>
                <w:bCs/>
                <w:sz w:val="22"/>
              </w:rPr>
            </w:pPr>
            <w:r>
              <w:rPr>
                <w:rFonts w:eastAsia="Times New Roman" w:cs="Times New Roman"/>
                <w:bCs/>
                <w:sz w:val="22"/>
              </w:rPr>
              <w:t>Long Wet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82D940D" w14:textId="77777777" w:rsidR="00BA5A29" w:rsidRDefault="00BA5A29">
            <w:pPr>
              <w:spacing w:line="240" w:lineRule="auto"/>
              <w:rPr>
                <w:rFonts w:eastAsia="Times New Roman" w:cs="Times New Roman"/>
                <w:bCs/>
                <w:sz w:val="22"/>
              </w:rPr>
            </w:pPr>
            <w:r>
              <w:rPr>
                <w:rFonts w:eastAsia="Times New Roman" w:cs="Times New Roman"/>
                <w:bCs/>
                <w:sz w:val="22"/>
              </w:rPr>
              <w:t>Pre-heater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57031" w14:textId="77777777" w:rsidR="00BA5A29" w:rsidRDefault="00BA5A29">
            <w:pPr>
              <w:spacing w:line="240" w:lineRule="auto"/>
              <w:rPr>
                <w:rFonts w:eastAsia="Times New Roman" w:cs="Times New Roman"/>
                <w:bCs/>
                <w:sz w:val="22"/>
              </w:rPr>
            </w:pPr>
            <w:r>
              <w:rPr>
                <w:rFonts w:eastAsia="Times New Roman" w:cs="Times New Roman"/>
                <w:bCs/>
                <w:sz w:val="22"/>
              </w:rPr>
              <w:t>Pre-</w:t>
            </w:r>
            <w:proofErr w:type="spellStart"/>
            <w:r>
              <w:rPr>
                <w:rFonts w:eastAsia="Times New Roman" w:cs="Times New Roman"/>
                <w:bCs/>
                <w:sz w:val="22"/>
              </w:rPr>
              <w:t>calciner</w:t>
            </w:r>
            <w:proofErr w:type="spellEnd"/>
            <w:r>
              <w:rPr>
                <w:rFonts w:eastAsia="Times New Roman" w:cs="Times New Roman"/>
                <w:bCs/>
                <w:sz w:val="22"/>
              </w:rPr>
              <w:t xml:space="preserve"> (PH/PC - 5 stage)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FDEDDB" w14:textId="77777777" w:rsidR="00BA5A29" w:rsidRDefault="00BA5A29">
            <w:pPr>
              <w:spacing w:line="240" w:lineRule="auto"/>
              <w:rPr>
                <w:rFonts w:eastAsia="Times New Roman" w:cs="Times New Roman"/>
                <w:bCs/>
                <w:sz w:val="22"/>
              </w:rPr>
            </w:pPr>
            <w:r>
              <w:rPr>
                <w:rFonts w:eastAsia="Times New Roman" w:cs="Times New Roman"/>
                <w:bCs/>
                <w:sz w:val="22"/>
              </w:rPr>
              <w:t>Long Wet kiln: 75%</w:t>
            </w:r>
          </w:p>
          <w:p w14:paraId="3A9AAD52" w14:textId="77777777" w:rsidR="00BA5A29" w:rsidRDefault="00BA5A29">
            <w:pPr>
              <w:spacing w:line="240" w:lineRule="auto"/>
              <w:rPr>
                <w:rFonts w:eastAsia="Times New Roman" w:cs="Times New Roman"/>
                <w:bCs/>
                <w:sz w:val="22"/>
              </w:rPr>
            </w:pPr>
            <w:r>
              <w:rPr>
                <w:rFonts w:eastAsia="Times New Roman" w:cs="Times New Roman"/>
                <w:bCs/>
                <w:sz w:val="22"/>
              </w:rPr>
              <w:t>Long Dry Kiln: 50%</w:t>
            </w:r>
          </w:p>
          <w:p w14:paraId="5AF7F68F" w14:textId="77777777" w:rsidR="00BA5A29" w:rsidRDefault="00BA5A29">
            <w:pPr>
              <w:spacing w:line="240" w:lineRule="auto"/>
              <w:rPr>
                <w:rFonts w:eastAsia="Times New Roman" w:cs="Times New Roman"/>
                <w:bCs/>
                <w:sz w:val="22"/>
              </w:rPr>
            </w:pPr>
            <w:r>
              <w:rPr>
                <w:rFonts w:eastAsia="Times New Roman" w:cs="Times New Roman"/>
                <w:bCs/>
                <w:sz w:val="22"/>
              </w:rPr>
              <w:t>Preheater Kiln: 25%</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BAA8A2" w14:textId="77777777" w:rsidR="00BA5A29" w:rsidRDefault="00BA5A29">
            <w:pPr>
              <w:spacing w:line="240" w:lineRule="auto"/>
              <w:rPr>
                <w:rFonts w:eastAsia="Times New Roman" w:cs="Times New Roman"/>
                <w:bCs/>
                <w:sz w:val="22"/>
              </w:rPr>
            </w:pPr>
            <w:r>
              <w:rPr>
                <w:rFonts w:eastAsia="Times New Roman" w:cs="Times New Roman"/>
                <w:bCs/>
                <w:sz w:val="22"/>
              </w:rPr>
              <w:t>Long Wet kiln: 50%</w:t>
            </w:r>
          </w:p>
          <w:p w14:paraId="14E44325" w14:textId="77777777" w:rsidR="00BA5A29" w:rsidRDefault="00BA5A29">
            <w:pPr>
              <w:spacing w:line="240" w:lineRule="auto"/>
              <w:rPr>
                <w:rFonts w:eastAsia="Times New Roman" w:cs="Times New Roman"/>
                <w:bCs/>
                <w:sz w:val="22"/>
              </w:rPr>
            </w:pPr>
            <w:r>
              <w:rPr>
                <w:rFonts w:eastAsia="Times New Roman" w:cs="Times New Roman"/>
                <w:bCs/>
                <w:sz w:val="22"/>
              </w:rPr>
              <w:t>Long Dry Kiln: 20%</w:t>
            </w:r>
          </w:p>
          <w:p w14:paraId="13F09253" w14:textId="77777777" w:rsidR="00BA5A29" w:rsidRDefault="00BA5A29">
            <w:pPr>
              <w:spacing w:line="240" w:lineRule="auto"/>
              <w:rPr>
                <w:rFonts w:eastAsia="Times New Roman" w:cs="Times New Roman"/>
                <w:bCs/>
                <w:sz w:val="22"/>
              </w:rPr>
            </w:pPr>
            <w:r>
              <w:rPr>
                <w:rFonts w:eastAsia="Times New Roman" w:cs="Times New Roman"/>
                <w:bCs/>
                <w:sz w:val="22"/>
              </w:rPr>
              <w:t>Preheater Kiln: 0%</w:t>
            </w:r>
          </w:p>
        </w:tc>
      </w:tr>
      <w:tr w:rsidR="00BA5A29" w14:paraId="2D04237F" w14:textId="77777777" w:rsidTr="00BA5A29">
        <w:trPr>
          <w:trHeight w:val="440"/>
          <w:jc w:val="center"/>
        </w:trPr>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089E6A2" w14:textId="77777777" w:rsidR="00BA5A29" w:rsidRDefault="00BA5A29">
            <w:pPr>
              <w:spacing w:line="240" w:lineRule="auto"/>
              <w:rPr>
                <w:rFonts w:eastAsia="Times New Roman" w:cs="Times New Roman"/>
                <w:sz w:val="22"/>
              </w:rPr>
            </w:pPr>
            <w:r>
              <w:rPr>
                <w:rFonts w:eastAsia="Times New Roman" w:cs="Times New Roman"/>
                <w:sz w:val="22"/>
              </w:rPr>
              <w:t>82,277.6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561B776" w14:textId="77777777" w:rsidR="00BA5A29" w:rsidRDefault="00E424C9" w:rsidP="00E424C9">
            <w:pPr>
              <w:spacing w:line="240" w:lineRule="auto"/>
              <w:rPr>
                <w:rFonts w:eastAsia="Times New Roman" w:cs="Times New Roman"/>
                <w:bCs/>
                <w:sz w:val="22"/>
              </w:rPr>
            </w:pPr>
            <w:r>
              <w:rPr>
                <w:rFonts w:eastAsia="Times New Roman" w:cs="Times New Roman"/>
                <w:bCs/>
                <w:sz w:val="22"/>
              </w:rPr>
              <w:t>34</w:t>
            </w:r>
          </w:p>
        </w:tc>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0C7DED8" w14:textId="77777777" w:rsidR="00BA5A29" w:rsidRDefault="00E424C9" w:rsidP="00E424C9">
            <w:pPr>
              <w:spacing w:line="240" w:lineRule="auto"/>
              <w:rPr>
                <w:rFonts w:eastAsia="Times New Roman" w:cs="Times New Roman"/>
                <w:bCs/>
                <w:sz w:val="22"/>
              </w:rPr>
            </w:pPr>
            <w:r>
              <w:rPr>
                <w:rFonts w:eastAsia="Times New Roman" w:cs="Times New Roman"/>
                <w:bCs/>
                <w:sz w:val="22"/>
              </w:rPr>
              <w:t>13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EBCC80D" w14:textId="77777777" w:rsidR="00BA5A29" w:rsidRDefault="00BA5A29">
            <w:pPr>
              <w:spacing w:line="240" w:lineRule="auto"/>
              <w:rPr>
                <w:rFonts w:eastAsia="Times New Roman" w:cs="Times New Roman"/>
                <w:bCs/>
                <w:sz w:val="22"/>
              </w:rPr>
            </w:pPr>
            <w:r>
              <w:rPr>
                <w:rFonts w:eastAsia="Times New Roman" w:cs="Times New Roman"/>
                <w:bCs/>
                <w:sz w:val="22"/>
              </w:rPr>
              <w:t>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B5394C8" w14:textId="77777777" w:rsidR="00BA5A29" w:rsidRDefault="00BA5A29">
            <w:pPr>
              <w:spacing w:line="240" w:lineRule="auto"/>
              <w:rPr>
                <w:rFonts w:eastAsia="Times New Roman" w:cs="Times New Roman"/>
                <w:bCs/>
                <w:sz w:val="22"/>
              </w:rPr>
            </w:pPr>
            <w:r>
              <w:rPr>
                <w:rFonts w:eastAsia="Times New Roman" w:cs="Times New Roman"/>
                <w:bCs/>
                <w:sz w:val="22"/>
              </w:rPr>
              <w:t>29</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07F9273" w14:textId="77777777" w:rsidR="00BA5A29" w:rsidRDefault="00E424C9">
            <w:pPr>
              <w:spacing w:line="240" w:lineRule="auto"/>
              <w:rPr>
                <w:rFonts w:eastAsia="Times New Roman" w:cs="Times New Roman"/>
                <w:sz w:val="22"/>
              </w:rPr>
            </w:pPr>
            <w:r>
              <w:rPr>
                <w:rFonts w:eastAsia="Times New Roman" w:cs="Times New Roman"/>
                <w:b/>
                <w:color w:val="000000"/>
                <w:sz w:val="22"/>
              </w:rPr>
              <w:t>21,512.3</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9221ECA" w14:textId="77777777" w:rsidR="00BA5A29" w:rsidRDefault="00E424C9">
            <w:pPr>
              <w:spacing w:line="240" w:lineRule="auto"/>
              <w:rPr>
                <w:rFonts w:eastAsia="Times New Roman" w:cs="Times New Roman"/>
                <w:sz w:val="22"/>
              </w:rPr>
            </w:pPr>
            <w:r>
              <w:rPr>
                <w:rFonts w:eastAsia="Times New Roman" w:cs="Times New Roman"/>
                <w:b/>
                <w:color w:val="000000"/>
                <w:sz w:val="22"/>
              </w:rPr>
              <w:t>9</w:t>
            </w:r>
            <w:r w:rsidR="003E7A46">
              <w:rPr>
                <w:rFonts w:eastAsia="Times New Roman" w:cs="Times New Roman"/>
                <w:b/>
                <w:color w:val="000000"/>
                <w:sz w:val="22"/>
              </w:rPr>
              <w:t>,</w:t>
            </w:r>
            <w:r>
              <w:rPr>
                <w:rFonts w:eastAsia="Times New Roman" w:cs="Times New Roman"/>
                <w:b/>
                <w:color w:val="000000"/>
                <w:sz w:val="22"/>
              </w:rPr>
              <w:t>592.7</w:t>
            </w:r>
          </w:p>
        </w:tc>
      </w:tr>
    </w:tbl>
    <w:p w14:paraId="12D27936" w14:textId="77777777" w:rsidR="00165578" w:rsidRPr="008C643F" w:rsidRDefault="00BA5A29" w:rsidP="00965BF2">
      <w:r>
        <w:rPr>
          <w:rFonts w:eastAsia="Times New Roman" w:cs="Times New Roman"/>
          <w:bCs/>
          <w:color w:val="000000" w:themeColor="text1"/>
          <w:sz w:val="22"/>
        </w:rPr>
        <w:t>Note: There are no cement manufacturing sources in CT, DC, DE, LA, MA, MS, NH, NJ, VT, WI</w:t>
      </w:r>
    </w:p>
    <w:sectPr w:rsidR="00165578" w:rsidRPr="008C643F" w:rsidSect="00A11BC9">
      <w:headerReference w:type="default" r:id="rId20"/>
      <w:footerReference w:type="default" r:id="rId21"/>
      <w:footerReference w:type="first" r:id="rId22"/>
      <w:type w:val="continuous"/>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 w:author="Pettingill, Gene (DNREC)" w:date="2017-08-24T09:09:00Z" w:initials="PG(">
    <w:p w14:paraId="72847D4E" w14:textId="77777777" w:rsidR="0089724E" w:rsidRDefault="0089724E" w:rsidP="001A4DF9">
      <w:pPr>
        <w:pStyle w:val="CommentText"/>
      </w:pPr>
      <w:r>
        <w:rPr>
          <w:rStyle w:val="CommentReference"/>
        </w:rPr>
        <w:annotationRef/>
      </w:r>
      <w:r>
        <w:t xml:space="preserve">If VA has </w:t>
      </w:r>
      <w:proofErr w:type="gramStart"/>
      <w:r>
        <w:t>large  natural</w:t>
      </w:r>
      <w:proofErr w:type="gramEnd"/>
      <w:r>
        <w:t xml:space="preserve"> gas compressors why was it not included in Figure 2. If VA has small natural gas compressors why should it be included here, DE is not included here</w:t>
      </w:r>
      <w:proofErr w:type="gramStart"/>
      <w:r>
        <w:t>..</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847D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730FA" w14:textId="77777777" w:rsidR="00066219" w:rsidRDefault="00066219" w:rsidP="00C60DD2">
      <w:r>
        <w:separator/>
      </w:r>
    </w:p>
  </w:endnote>
  <w:endnote w:type="continuationSeparator" w:id="0">
    <w:p w14:paraId="5FD9E917" w14:textId="77777777" w:rsidR="00066219" w:rsidRDefault="00066219" w:rsidP="00C60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469278"/>
      <w:docPartObj>
        <w:docPartGallery w:val="Page Numbers (Bottom of Page)"/>
        <w:docPartUnique/>
      </w:docPartObj>
    </w:sdtPr>
    <w:sdtEndPr>
      <w:rPr>
        <w:noProof/>
      </w:rPr>
    </w:sdtEndPr>
    <w:sdtContent>
      <w:p w14:paraId="6308735B" w14:textId="77777777" w:rsidR="0089724E" w:rsidRPr="00B6567F" w:rsidRDefault="0089724E" w:rsidP="00950B47">
        <w:pPr>
          <w:pStyle w:val="Footer"/>
          <w:jc w:val="right"/>
          <w:rPr>
            <w:sz w:val="20"/>
            <w:szCs w:val="20"/>
          </w:rPr>
        </w:pPr>
        <w:r w:rsidRPr="00950B47">
          <w:rPr>
            <w:sz w:val="20"/>
            <w:szCs w:val="20"/>
          </w:rPr>
          <w:fldChar w:fldCharType="begin"/>
        </w:r>
        <w:r w:rsidRPr="00950B47">
          <w:rPr>
            <w:sz w:val="20"/>
            <w:szCs w:val="20"/>
          </w:rPr>
          <w:instrText xml:space="preserve"> PAGE   \* MERGEFORMAT </w:instrText>
        </w:r>
        <w:r w:rsidRPr="00950B47">
          <w:rPr>
            <w:sz w:val="20"/>
            <w:szCs w:val="20"/>
          </w:rPr>
          <w:fldChar w:fldCharType="separate"/>
        </w:r>
        <w:r w:rsidR="003063FD">
          <w:rPr>
            <w:noProof/>
            <w:sz w:val="20"/>
            <w:szCs w:val="20"/>
          </w:rPr>
          <w:t>11</w:t>
        </w:r>
        <w:r w:rsidRPr="00950B47">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016176"/>
      <w:docPartObj>
        <w:docPartGallery w:val="Page Numbers (Bottom of Page)"/>
        <w:docPartUnique/>
      </w:docPartObj>
    </w:sdtPr>
    <w:sdtEndPr>
      <w:rPr>
        <w:noProof/>
        <w:sz w:val="20"/>
        <w:szCs w:val="20"/>
      </w:rPr>
    </w:sdtEndPr>
    <w:sdtContent>
      <w:p w14:paraId="2D91A24C" w14:textId="77777777" w:rsidR="0089724E" w:rsidRDefault="0089724E" w:rsidP="00A11BC9">
        <w:pPr>
          <w:pStyle w:val="Footer"/>
          <w:jc w:val="right"/>
        </w:pPr>
        <w:r w:rsidRPr="00A11BC9">
          <w:rPr>
            <w:sz w:val="20"/>
            <w:szCs w:val="20"/>
          </w:rPr>
          <w:fldChar w:fldCharType="begin"/>
        </w:r>
        <w:r w:rsidRPr="00A11BC9">
          <w:rPr>
            <w:sz w:val="20"/>
            <w:szCs w:val="20"/>
          </w:rPr>
          <w:instrText xml:space="preserve"> PAGE   \* MERGEFORMAT </w:instrText>
        </w:r>
        <w:r w:rsidRPr="00A11BC9">
          <w:rPr>
            <w:sz w:val="20"/>
            <w:szCs w:val="20"/>
          </w:rPr>
          <w:fldChar w:fldCharType="separate"/>
        </w:r>
        <w:r w:rsidR="00F5330D">
          <w:rPr>
            <w:noProof/>
            <w:sz w:val="20"/>
            <w:szCs w:val="20"/>
          </w:rPr>
          <w:t>1</w:t>
        </w:r>
        <w:r w:rsidRPr="00A11BC9">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E1104" w14:textId="77777777" w:rsidR="00066219" w:rsidRDefault="00066219" w:rsidP="00C60DD2">
      <w:r>
        <w:separator/>
      </w:r>
    </w:p>
  </w:footnote>
  <w:footnote w:type="continuationSeparator" w:id="0">
    <w:p w14:paraId="58F585F0" w14:textId="77777777" w:rsidR="00066219" w:rsidRDefault="00066219" w:rsidP="00C60DD2">
      <w:r>
        <w:continuationSeparator/>
      </w:r>
    </w:p>
  </w:footnote>
  <w:footnote w:id="1">
    <w:p w14:paraId="2C2DD192" w14:textId="77777777" w:rsidR="0089724E" w:rsidRPr="00C92BC2" w:rsidRDefault="0089724E" w:rsidP="00C92BC2">
      <w:pPr>
        <w:pStyle w:val="FootnoteText"/>
        <w:spacing w:line="240" w:lineRule="auto"/>
      </w:pPr>
      <w:r w:rsidRPr="00C92BC2">
        <w:rPr>
          <w:rStyle w:val="FootnoteReference"/>
        </w:rPr>
        <w:footnoteRef/>
      </w:r>
      <w:r w:rsidRPr="00C92BC2">
        <w:t xml:space="preserve"> Elements That Have Been Used Previously to Address the' Good Neighbor" Provision, Jan. 22, 2015. </w:t>
      </w:r>
      <w:hyperlink r:id="rId1" w:history="1">
        <w:r w:rsidRPr="00C92BC2">
          <w:rPr>
            <w:rStyle w:val="Hyperlink"/>
            <w:u w:val="none"/>
          </w:rPr>
          <w:t>https://www.epa.gov/sites/production/files/2015-10/documents/goodneighborprovision2008naaqs.pdf</w:t>
        </w:r>
      </w:hyperlink>
    </w:p>
  </w:footnote>
  <w:footnote w:id="2">
    <w:p w14:paraId="74CD8A6E" w14:textId="77777777" w:rsidR="0089724E" w:rsidRPr="00C92BC2" w:rsidRDefault="0089724E" w:rsidP="00C92BC2">
      <w:pPr>
        <w:pStyle w:val="FootnoteText"/>
        <w:spacing w:line="240" w:lineRule="auto"/>
      </w:pPr>
      <w:r w:rsidRPr="00C92BC2">
        <w:rPr>
          <w:rStyle w:val="FootnoteReference"/>
        </w:rPr>
        <w:footnoteRef/>
      </w:r>
      <w:r w:rsidRPr="00C92BC2">
        <w:t xml:space="preserve"> </w:t>
      </w:r>
      <w:hyperlink r:id="rId2" w:history="1">
        <w:r w:rsidRPr="00C92BC2">
          <w:rPr>
            <w:rStyle w:val="Hyperlink"/>
            <w:u w:val="none"/>
          </w:rPr>
          <w:t>https://www.epa.gov/sites/production/files/2015-10/documents/goodneighborprovision2008naaqs.pdf</w:t>
        </w:r>
      </w:hyperlink>
    </w:p>
  </w:footnote>
  <w:footnote w:id="3">
    <w:p w14:paraId="0C44873D" w14:textId="77777777" w:rsidR="0089724E" w:rsidRPr="00C92BC2" w:rsidRDefault="0089724E" w:rsidP="00C92BC2">
      <w:pPr>
        <w:pStyle w:val="FootnoteText"/>
        <w:spacing w:line="240" w:lineRule="auto"/>
      </w:pPr>
      <w:r w:rsidRPr="00C92BC2">
        <w:rPr>
          <w:rStyle w:val="FootnoteReference"/>
        </w:rPr>
        <w:footnoteRef/>
      </w:r>
      <w:r w:rsidRPr="00C92BC2">
        <w:t xml:space="preserve"> EPA’s </w:t>
      </w:r>
      <w:r w:rsidRPr="00C92BC2">
        <w:rPr>
          <w:bCs/>
        </w:rPr>
        <w:t xml:space="preserve">2014 NEI v1; </w:t>
      </w:r>
      <w:hyperlink r:id="rId3" w:history="1">
        <w:r w:rsidRPr="00C92BC2">
          <w:rPr>
            <w:rStyle w:val="Hyperlink"/>
            <w:bCs/>
            <w:u w:val="none"/>
          </w:rPr>
          <w:t>https://www.epa.gov/air-emissions-inventories/2014-national-emissions-inventory-nei-data</w:t>
        </w:r>
      </w:hyperlink>
    </w:p>
  </w:footnote>
  <w:footnote w:id="4">
    <w:p w14:paraId="3C04EA94" w14:textId="77777777" w:rsidR="0089724E" w:rsidRPr="00C92BC2" w:rsidRDefault="0089724E" w:rsidP="00C92BC2">
      <w:pPr>
        <w:pStyle w:val="FootnoteText"/>
        <w:spacing w:line="240" w:lineRule="auto"/>
      </w:pPr>
      <w:r w:rsidRPr="00C92BC2">
        <w:rPr>
          <w:rStyle w:val="FootnoteReference"/>
        </w:rPr>
        <w:footnoteRef/>
      </w:r>
      <w:r w:rsidRPr="00C92BC2">
        <w:t xml:space="preserve"> </w:t>
      </w:r>
      <w:hyperlink r:id="rId4" w:history="1">
        <w:r w:rsidRPr="00C92BC2">
          <w:rPr>
            <w:rStyle w:val="Hyperlink"/>
            <w:u w:val="none"/>
          </w:rPr>
          <w:t>https://www.eia.gov/pub/oil_gas/natural_gas/analysis_publications/ngpipeline/index.html</w:t>
        </w:r>
      </w:hyperlink>
    </w:p>
  </w:footnote>
  <w:footnote w:id="5">
    <w:p w14:paraId="23A80B2E" w14:textId="77777777" w:rsidR="0089724E" w:rsidRPr="00C92BC2" w:rsidRDefault="0089724E" w:rsidP="00C92BC2">
      <w:pPr>
        <w:pStyle w:val="FootnoteText"/>
        <w:spacing w:line="240" w:lineRule="auto"/>
      </w:pPr>
      <w:r w:rsidRPr="00C92BC2">
        <w:rPr>
          <w:rStyle w:val="FootnoteReference"/>
        </w:rPr>
        <w:footnoteRef/>
      </w:r>
      <w:r w:rsidRPr="00C92BC2">
        <w:t xml:space="preserve"> </w:t>
      </w:r>
      <w:hyperlink r:id="rId5" w:history="1">
        <w:r w:rsidRPr="00C92BC2">
          <w:rPr>
            <w:rStyle w:val="Hyperlink"/>
            <w:u w:val="none"/>
          </w:rPr>
          <w:t>https://www.eia.gov/pub/oil_gas/natural_gas/analysis_publications/ngpipeline/index.html</w:t>
        </w:r>
      </w:hyperlink>
    </w:p>
  </w:footnote>
  <w:footnote w:id="6">
    <w:p w14:paraId="00C1AE45" w14:textId="77777777" w:rsidR="0089724E" w:rsidRPr="00C92BC2" w:rsidRDefault="0089724E" w:rsidP="00C92BC2">
      <w:pPr>
        <w:pStyle w:val="FootnoteText"/>
        <w:spacing w:line="240" w:lineRule="auto"/>
      </w:pPr>
      <w:r w:rsidRPr="00C92BC2">
        <w:rPr>
          <w:rStyle w:val="FootnoteReference"/>
        </w:rPr>
        <w:footnoteRef/>
      </w:r>
      <w:r w:rsidRPr="00C92BC2">
        <w:t xml:space="preserve"> EPA NEI 2014 (v1); </w:t>
      </w:r>
      <w:hyperlink r:id="rId6" w:history="1">
        <w:r w:rsidRPr="00C92BC2">
          <w:rPr>
            <w:rStyle w:val="Hyperlink"/>
            <w:u w:val="none"/>
          </w:rPr>
          <w:t>https://www.epa.gov/air-emissions-inventories/2014-national-emissions-inventory-nei-data</w:t>
        </w:r>
      </w:hyperlink>
      <w:r w:rsidRPr="00C92BC2">
        <w:t xml:space="preserve"> </w:t>
      </w:r>
    </w:p>
  </w:footnote>
  <w:footnote w:id="7">
    <w:p w14:paraId="21473647" w14:textId="77777777" w:rsidR="0089724E" w:rsidRPr="00C92BC2" w:rsidRDefault="0089724E" w:rsidP="00C92BC2">
      <w:pPr>
        <w:pStyle w:val="FootnoteText"/>
        <w:spacing w:line="240" w:lineRule="auto"/>
        <w:rPr>
          <w:rFonts w:asciiTheme="minorHAnsi" w:hAnsiTheme="minorHAnsi"/>
        </w:rPr>
      </w:pPr>
      <w:r w:rsidRPr="00C92BC2">
        <w:rPr>
          <w:rStyle w:val="FootnoteReference"/>
          <w:rFonts w:asciiTheme="minorHAnsi" w:hAnsiTheme="minorHAnsi"/>
        </w:rPr>
        <w:footnoteRef/>
      </w:r>
      <w:r w:rsidRPr="00C92BC2">
        <w:rPr>
          <w:rFonts w:asciiTheme="minorHAnsi" w:hAnsiTheme="minorHAnsi"/>
        </w:rPr>
        <w:t xml:space="preserve"> </w:t>
      </w:r>
      <w:hyperlink r:id="rId7" w:history="1">
        <w:r w:rsidRPr="00C92BC2">
          <w:rPr>
            <w:rStyle w:val="Hyperlink"/>
            <w:rFonts w:asciiTheme="minorHAnsi" w:hAnsiTheme="minorHAnsi"/>
            <w:u w:val="none"/>
          </w:rPr>
          <w:t>https://primis.phmsa.dot.gov/comm/FactSheets/FSPumpStations.htm</w:t>
        </w:r>
      </w:hyperlink>
    </w:p>
  </w:footnote>
  <w:footnote w:id="8">
    <w:p w14:paraId="43FA17E3" w14:textId="77777777" w:rsidR="0089724E" w:rsidRPr="00C92BC2" w:rsidRDefault="0089724E" w:rsidP="00C92BC2">
      <w:pPr>
        <w:pStyle w:val="FootnoteText"/>
        <w:spacing w:line="240" w:lineRule="auto"/>
        <w:rPr>
          <w:rFonts w:asciiTheme="minorHAnsi" w:hAnsiTheme="minorHAnsi"/>
        </w:rPr>
      </w:pPr>
      <w:r w:rsidRPr="00C92BC2">
        <w:rPr>
          <w:rStyle w:val="FootnoteReference"/>
          <w:rFonts w:asciiTheme="minorHAnsi" w:hAnsiTheme="minorHAnsi"/>
        </w:rPr>
        <w:footnoteRef/>
      </w:r>
      <w:r w:rsidRPr="00C92BC2">
        <w:rPr>
          <w:rFonts w:asciiTheme="minorHAnsi" w:hAnsiTheme="minorHAnsi"/>
        </w:rPr>
        <w:t xml:space="preserve"> </w:t>
      </w:r>
      <w:hyperlink r:id="rId8" w:history="1">
        <w:r w:rsidRPr="00C92BC2">
          <w:rPr>
            <w:rStyle w:val="Hyperlink"/>
            <w:rFonts w:asciiTheme="minorHAnsi" w:hAnsiTheme="minorHAnsi"/>
            <w:u w:val="none"/>
          </w:rPr>
          <w:t>https://primis.phmsa.dot.gov/comm/FactSheets/FSPumpStations.htm</w:t>
        </w:r>
      </w:hyperlink>
    </w:p>
  </w:footnote>
  <w:footnote w:id="9">
    <w:p w14:paraId="6C73397D" w14:textId="77777777" w:rsidR="0089724E" w:rsidRPr="00C92BC2" w:rsidRDefault="0089724E" w:rsidP="00C92BC2">
      <w:pPr>
        <w:spacing w:line="240" w:lineRule="auto"/>
        <w:rPr>
          <w:rFonts w:asciiTheme="minorHAnsi" w:hAnsiTheme="minorHAnsi"/>
          <w:sz w:val="20"/>
          <w:szCs w:val="20"/>
        </w:rPr>
      </w:pPr>
      <w:r w:rsidRPr="00C92BC2">
        <w:rPr>
          <w:rStyle w:val="FootnoteReference"/>
          <w:rFonts w:asciiTheme="minorHAnsi" w:hAnsiTheme="minorHAnsi"/>
          <w:sz w:val="20"/>
          <w:szCs w:val="20"/>
        </w:rPr>
        <w:footnoteRef/>
      </w:r>
      <w:r w:rsidRPr="00C92BC2">
        <w:rPr>
          <w:rFonts w:asciiTheme="minorHAnsi" w:hAnsiTheme="minorHAnsi"/>
          <w:sz w:val="20"/>
          <w:szCs w:val="20"/>
        </w:rPr>
        <w:t xml:space="preserve"> Compressor Stations: What They Do, How They Work, and Why They Are Important. 01/21/</w:t>
      </w:r>
      <w:r w:rsidRPr="00C92BC2">
        <w:rPr>
          <w:rFonts w:asciiTheme="minorHAnsi" w:hAnsiTheme="minorHAnsi" w:cs="Arial"/>
          <w:sz w:val="20"/>
          <w:szCs w:val="20"/>
          <w:shd w:val="clear" w:color="auto" w:fill="FFFFFF"/>
        </w:rPr>
        <w:t>2014</w:t>
      </w:r>
      <w:r w:rsidRPr="00C92BC2">
        <w:rPr>
          <w:rFonts w:asciiTheme="minorHAnsi" w:hAnsiTheme="minorHAnsi" w:cs="Arial"/>
          <w:color w:val="999999"/>
          <w:sz w:val="20"/>
          <w:szCs w:val="20"/>
          <w:shd w:val="clear" w:color="auto" w:fill="FFFFFF"/>
        </w:rPr>
        <w:t xml:space="preserve">. </w:t>
      </w:r>
      <w:hyperlink r:id="rId9" w:history="1">
        <w:r w:rsidRPr="00C92BC2">
          <w:rPr>
            <w:rStyle w:val="Hyperlink"/>
            <w:rFonts w:asciiTheme="minorHAnsi" w:hAnsiTheme="minorHAnsi"/>
            <w:sz w:val="20"/>
            <w:szCs w:val="20"/>
            <w:u w:val="none"/>
          </w:rPr>
          <w:t>http://setxind.com/midstream/compressor-stations-what-how-why/</w:t>
        </w:r>
      </w:hyperlink>
    </w:p>
  </w:footnote>
  <w:footnote w:id="10">
    <w:p w14:paraId="1B7166A6" w14:textId="77777777" w:rsidR="0089724E" w:rsidRPr="00C92BC2" w:rsidRDefault="0089724E" w:rsidP="00C92BC2">
      <w:pPr>
        <w:pStyle w:val="FootnoteText"/>
        <w:spacing w:line="240" w:lineRule="auto"/>
        <w:rPr>
          <w:rFonts w:asciiTheme="minorHAnsi" w:hAnsiTheme="minorHAnsi"/>
        </w:rPr>
      </w:pPr>
      <w:r w:rsidRPr="00C92BC2">
        <w:rPr>
          <w:rStyle w:val="FootnoteReference"/>
          <w:rFonts w:asciiTheme="minorHAnsi" w:hAnsiTheme="minorHAnsi"/>
        </w:rPr>
        <w:footnoteRef/>
      </w:r>
      <w:r w:rsidRPr="00C92BC2">
        <w:rPr>
          <w:rFonts w:asciiTheme="minorHAnsi" w:hAnsiTheme="minorHAnsi"/>
        </w:rPr>
        <w:t xml:space="preserve"> </w:t>
      </w:r>
      <w:hyperlink r:id="rId10" w:history="1">
        <w:r w:rsidRPr="00C92BC2">
          <w:rPr>
            <w:rStyle w:val="Hyperlink"/>
            <w:rFonts w:asciiTheme="minorHAnsi" w:hAnsiTheme="minorHAnsi"/>
            <w:u w:val="none"/>
          </w:rPr>
          <w:t>http://setxind.com/midstream/compressor-stations-what-how-why/</w:t>
        </w:r>
      </w:hyperlink>
    </w:p>
  </w:footnote>
  <w:footnote w:id="11">
    <w:p w14:paraId="687BBA0E" w14:textId="77777777" w:rsidR="0089724E" w:rsidRPr="00C92BC2" w:rsidRDefault="0089724E" w:rsidP="00C92BC2">
      <w:pPr>
        <w:pStyle w:val="FootnoteText"/>
        <w:spacing w:line="240" w:lineRule="auto"/>
        <w:rPr>
          <w:rFonts w:asciiTheme="minorHAnsi" w:hAnsiTheme="minorHAnsi"/>
        </w:rPr>
      </w:pPr>
      <w:r w:rsidRPr="00C92BC2">
        <w:rPr>
          <w:rStyle w:val="FootnoteReference"/>
          <w:rFonts w:asciiTheme="minorHAnsi" w:hAnsiTheme="minorHAnsi"/>
        </w:rPr>
        <w:footnoteRef/>
      </w:r>
      <w:r w:rsidRPr="00C92BC2">
        <w:rPr>
          <w:rFonts w:asciiTheme="minorHAnsi" w:hAnsiTheme="minorHAnsi"/>
        </w:rPr>
        <w:t xml:space="preserve"> </w:t>
      </w:r>
      <w:hyperlink r:id="rId11" w:history="1">
        <w:r w:rsidRPr="00C92BC2">
          <w:rPr>
            <w:rStyle w:val="Hyperlink"/>
            <w:rFonts w:asciiTheme="minorHAnsi" w:hAnsiTheme="minorHAnsi"/>
            <w:u w:val="none"/>
          </w:rPr>
          <w:t>http://setxind.com/midstream/compressor-stations-what-how-why/</w:t>
        </w:r>
      </w:hyperlink>
    </w:p>
  </w:footnote>
  <w:footnote w:id="12">
    <w:p w14:paraId="6D9D9D6D" w14:textId="77777777" w:rsidR="0089724E" w:rsidRPr="00C92BC2" w:rsidRDefault="0089724E" w:rsidP="00C92BC2">
      <w:pPr>
        <w:pStyle w:val="FootnoteText"/>
        <w:spacing w:line="240" w:lineRule="auto"/>
        <w:rPr>
          <w:rFonts w:asciiTheme="minorHAnsi" w:hAnsiTheme="minorHAnsi"/>
        </w:rPr>
      </w:pPr>
      <w:r w:rsidRPr="00C92BC2">
        <w:rPr>
          <w:rStyle w:val="FootnoteReference"/>
          <w:rFonts w:asciiTheme="minorHAnsi" w:hAnsiTheme="minorHAnsi"/>
        </w:rPr>
        <w:footnoteRef/>
      </w:r>
      <w:r w:rsidRPr="00C92BC2">
        <w:rPr>
          <w:rFonts w:asciiTheme="minorHAnsi" w:hAnsiTheme="minorHAnsi"/>
        </w:rPr>
        <w:t xml:space="preserve"> </w:t>
      </w:r>
      <w:hyperlink r:id="rId12" w:history="1">
        <w:r w:rsidRPr="00C92BC2">
          <w:rPr>
            <w:rStyle w:val="Hyperlink"/>
            <w:rFonts w:asciiTheme="minorHAnsi" w:hAnsiTheme="minorHAnsi"/>
            <w:u w:val="none"/>
          </w:rPr>
          <w:t>http://setxind.com/midstream/compressor-stations-what-how-why/</w:t>
        </w:r>
      </w:hyperlink>
    </w:p>
  </w:footnote>
  <w:footnote w:id="13">
    <w:p w14:paraId="52AD3F7B" w14:textId="77777777" w:rsidR="0089724E" w:rsidRPr="00C92BC2" w:rsidRDefault="0089724E" w:rsidP="00C92BC2">
      <w:pPr>
        <w:pStyle w:val="FootnoteText"/>
        <w:spacing w:line="240" w:lineRule="auto"/>
        <w:rPr>
          <w:rFonts w:asciiTheme="minorHAnsi" w:hAnsiTheme="minorHAnsi"/>
        </w:rPr>
      </w:pPr>
      <w:r w:rsidRPr="00C92BC2">
        <w:rPr>
          <w:rStyle w:val="FootnoteReference"/>
          <w:rFonts w:asciiTheme="minorHAnsi" w:hAnsiTheme="minorHAnsi"/>
        </w:rPr>
        <w:footnoteRef/>
      </w:r>
      <w:r w:rsidRPr="00C92BC2">
        <w:rPr>
          <w:rFonts w:asciiTheme="minorHAnsi" w:hAnsiTheme="minorHAnsi"/>
        </w:rPr>
        <w:t xml:space="preserve"> </w:t>
      </w:r>
      <w:hyperlink r:id="rId13" w:history="1">
        <w:r w:rsidRPr="00C92BC2">
          <w:rPr>
            <w:rStyle w:val="Hyperlink"/>
            <w:rFonts w:asciiTheme="minorHAnsi" w:hAnsiTheme="minorHAnsi"/>
            <w:u w:val="none"/>
          </w:rPr>
          <w:t>http://setxind.com/midstream/compressor-stations-what-how-why/</w:t>
        </w:r>
      </w:hyperlink>
    </w:p>
  </w:footnote>
  <w:footnote w:id="14">
    <w:p w14:paraId="5B692647" w14:textId="77777777" w:rsidR="0089724E" w:rsidRPr="00C92BC2" w:rsidRDefault="0089724E" w:rsidP="00C92BC2">
      <w:pPr>
        <w:pStyle w:val="FootnoteText"/>
        <w:spacing w:line="240" w:lineRule="auto"/>
      </w:pPr>
      <w:r w:rsidRPr="00C92BC2">
        <w:rPr>
          <w:rStyle w:val="FootnoteReference"/>
        </w:rPr>
        <w:footnoteRef/>
      </w:r>
      <w:r w:rsidRPr="00C92BC2">
        <w:t xml:space="preserve"> F:\OTC\Committees\Stationary Area Source Committee\Projects\Control Measures\</w:t>
      </w:r>
      <w:proofErr w:type="spellStart"/>
      <w:r w:rsidRPr="00C92BC2">
        <w:t>PipelineCompressors</w:t>
      </w:r>
      <w:proofErr w:type="spellEnd"/>
      <w:r w:rsidRPr="00C92BC2">
        <w:t>\Draft White Paper - Gas Compressor Prime Mover NOx 060811</w:t>
      </w:r>
    </w:p>
  </w:footnote>
  <w:footnote w:id="15">
    <w:p w14:paraId="6BEE4E67" w14:textId="77777777" w:rsidR="0089724E" w:rsidRPr="00C92BC2" w:rsidRDefault="0089724E" w:rsidP="00C92BC2">
      <w:pPr>
        <w:spacing w:line="240" w:lineRule="auto"/>
        <w:rPr>
          <w:rFonts w:asciiTheme="minorHAnsi" w:hAnsiTheme="minorHAnsi"/>
          <w:sz w:val="20"/>
          <w:szCs w:val="20"/>
        </w:rPr>
      </w:pPr>
      <w:r w:rsidRPr="00C92BC2">
        <w:rPr>
          <w:rStyle w:val="FootnoteReference"/>
          <w:rFonts w:asciiTheme="minorHAnsi" w:hAnsiTheme="minorHAnsi"/>
          <w:sz w:val="20"/>
          <w:szCs w:val="20"/>
        </w:rPr>
        <w:footnoteRef/>
      </w:r>
      <w:r w:rsidRPr="00C92BC2">
        <w:rPr>
          <w:rFonts w:asciiTheme="minorHAnsi" w:hAnsiTheme="minorHAnsi"/>
          <w:sz w:val="20"/>
          <w:szCs w:val="20"/>
        </w:rPr>
        <w:t xml:space="preserve"> Department of Transportation, Fact Sheet: Pump and Compressor Stations; </w:t>
      </w:r>
      <w:hyperlink r:id="rId14" w:history="1">
        <w:r w:rsidRPr="00C92BC2">
          <w:rPr>
            <w:rStyle w:val="Hyperlink"/>
            <w:rFonts w:asciiTheme="minorHAnsi" w:hAnsiTheme="minorHAnsi"/>
            <w:sz w:val="20"/>
            <w:szCs w:val="20"/>
            <w:u w:val="none"/>
          </w:rPr>
          <w:t>https://primis.phmsa.dot.gov/comm/FactSheets/FSPumpStations.htm</w:t>
        </w:r>
      </w:hyperlink>
    </w:p>
  </w:footnote>
  <w:footnote w:id="16">
    <w:p w14:paraId="3042B2BD" w14:textId="77777777" w:rsidR="0089724E" w:rsidRPr="00C92BC2" w:rsidRDefault="0089724E" w:rsidP="00C92BC2">
      <w:pPr>
        <w:pStyle w:val="FootnoteText"/>
        <w:spacing w:line="240" w:lineRule="auto"/>
      </w:pPr>
      <w:r w:rsidRPr="00C92BC2">
        <w:rPr>
          <w:rStyle w:val="FootnoteReference"/>
        </w:rPr>
        <w:footnoteRef/>
      </w:r>
      <w:r w:rsidRPr="00C92BC2">
        <w:t xml:space="preserve"> 40 CFR Appendix Table 1 to Subpart KKKK of Part 60, Nitrogen Oxide Emission Limits for New Stationary Combustion Turbines. </w:t>
      </w:r>
      <w:hyperlink r:id="rId15" w:history="1">
        <w:r w:rsidRPr="00C92BC2">
          <w:rPr>
            <w:rStyle w:val="Hyperlink"/>
            <w:u w:val="none"/>
          </w:rPr>
          <w:t>https://www.gpo.gov/fdsys/pkg/CFR-2014-title40-vol7/pdf/CFR-2014-title40-vol7-part60-subpart KKKK-app1.pdf</w:t>
        </w:r>
      </w:hyperlink>
    </w:p>
  </w:footnote>
  <w:footnote w:id="17">
    <w:p w14:paraId="09CFD71A" w14:textId="77777777" w:rsidR="0089724E" w:rsidRPr="00C92BC2" w:rsidRDefault="0089724E" w:rsidP="00C92BC2">
      <w:pPr>
        <w:pStyle w:val="FootnoteText"/>
        <w:spacing w:line="240" w:lineRule="auto"/>
      </w:pPr>
      <w:r w:rsidRPr="00C92BC2">
        <w:rPr>
          <w:rStyle w:val="FootnoteReference"/>
        </w:rPr>
        <w:footnoteRef/>
      </w:r>
      <w:r w:rsidRPr="00C92BC2">
        <w:t xml:space="preserve"> Subpart </w:t>
      </w:r>
      <w:proofErr w:type="spellStart"/>
      <w:r w:rsidRPr="00C92BC2">
        <w:t>OOOOa</w:t>
      </w:r>
      <w:proofErr w:type="spellEnd"/>
      <w:r w:rsidRPr="00C92BC2">
        <w:t xml:space="preserve">—Standards of Performance for Crude Oil and Natural Gas Facilities for which Construction, Modification or Reconstruction Commenced After September 18, 2015  </w:t>
      </w:r>
      <w:hyperlink r:id="rId16" w:anchor="sp40.8.60.oooo_0a" w:history="1">
        <w:r w:rsidRPr="00C92BC2">
          <w:rPr>
            <w:rStyle w:val="Hyperlink"/>
            <w:u w:val="none"/>
          </w:rPr>
          <w:t>https://www.ecfr.gov/cgi-bin/retrieveECFR?gp=&amp;SID=3a6f6e148829b7518a5e0c316dc8e5a3&amp;mc=true&amp;n=pt40.8.60&amp;r=PART&amp;ty=HTML#sp40.8.60.oooo_0a</w:t>
        </w:r>
      </w:hyperlink>
    </w:p>
  </w:footnote>
  <w:footnote w:id="18">
    <w:p w14:paraId="057BBD24" w14:textId="77777777" w:rsidR="0089724E" w:rsidRPr="00C92BC2" w:rsidRDefault="0089724E" w:rsidP="00C92BC2">
      <w:pPr>
        <w:pStyle w:val="FootnoteText"/>
        <w:spacing w:line="240" w:lineRule="auto"/>
      </w:pPr>
      <w:r w:rsidRPr="00C92BC2">
        <w:rPr>
          <w:rStyle w:val="FootnoteReference"/>
        </w:rPr>
        <w:footnoteRef/>
      </w:r>
      <w:r w:rsidRPr="00C92BC2">
        <w:t xml:space="preserve"> EPA - Control Techniques Guideline for the Oil and Gas Industry.  EPA-453/B-16-001 </w:t>
      </w:r>
      <w:hyperlink r:id="rId17" w:history="1">
        <w:r w:rsidRPr="00C92BC2">
          <w:rPr>
            <w:rStyle w:val="Hyperlink"/>
            <w:u w:val="none"/>
          </w:rPr>
          <w:t>https://www.epa.gov/sites/production/files/2016-10/documents/2016-ctg-oil-and-gas.pdf</w:t>
        </w:r>
      </w:hyperlink>
    </w:p>
  </w:footnote>
  <w:footnote w:id="19">
    <w:p w14:paraId="7713C67F" w14:textId="77777777" w:rsidR="0089724E" w:rsidRPr="00C92BC2" w:rsidRDefault="0089724E" w:rsidP="00C92BC2">
      <w:pPr>
        <w:pStyle w:val="FootnoteText"/>
        <w:spacing w:line="240" w:lineRule="auto"/>
      </w:pPr>
      <w:r w:rsidRPr="00C92BC2">
        <w:rPr>
          <w:rStyle w:val="FootnoteReference"/>
        </w:rPr>
        <w:footnoteRef/>
      </w:r>
      <w:r w:rsidRPr="00C92BC2">
        <w:t xml:space="preserve"> Subpart </w:t>
      </w:r>
      <w:proofErr w:type="spellStart"/>
      <w:r w:rsidRPr="00C92BC2">
        <w:t>OOOOa</w:t>
      </w:r>
      <w:proofErr w:type="spellEnd"/>
      <w:r w:rsidRPr="00C92BC2">
        <w:t xml:space="preserve">—Standards of Performance for Crude Oil and Natural Gas Facilities for which Construction, Modification or Reconstruction Commenced After September 18, 2015  </w:t>
      </w:r>
      <w:hyperlink r:id="rId18" w:anchor="sp40.8.60.oooo_0a" w:history="1">
        <w:r w:rsidRPr="00C92BC2">
          <w:rPr>
            <w:rStyle w:val="Hyperlink"/>
            <w:u w:val="none"/>
          </w:rPr>
          <w:t>https://www.ecfr.gov/cgi-bin/retrieveECFR?gp=&amp;SID=3a6f6e148829b7518a5e0c316dc8e5a3&amp;mc=true&amp;n=pt40.8.60&amp;r=PART&amp;ty=HTML#sp40.8.60.oooo_0a</w:t>
        </w:r>
      </w:hyperlink>
    </w:p>
  </w:footnote>
  <w:footnote w:id="20">
    <w:p w14:paraId="4CB2EDB9" w14:textId="77777777" w:rsidR="0089724E" w:rsidRPr="00C92BC2" w:rsidRDefault="0089724E" w:rsidP="00C92BC2">
      <w:pPr>
        <w:pStyle w:val="FootnoteText"/>
        <w:spacing w:line="240" w:lineRule="auto"/>
        <w:rPr>
          <w:rFonts w:asciiTheme="minorHAnsi" w:hAnsiTheme="minorHAnsi"/>
        </w:rPr>
      </w:pPr>
      <w:r w:rsidRPr="00C92BC2">
        <w:rPr>
          <w:rStyle w:val="FootnoteReference"/>
          <w:rFonts w:asciiTheme="minorHAnsi" w:hAnsiTheme="minorHAnsi"/>
        </w:rPr>
        <w:footnoteRef/>
      </w:r>
      <w:r w:rsidRPr="00C92BC2">
        <w:rPr>
          <w:rFonts w:asciiTheme="minorHAnsi" w:hAnsiTheme="minorHAnsi"/>
        </w:rPr>
        <w:t xml:space="preserve"> Introduction to cement production line: </w:t>
      </w:r>
      <w:hyperlink r:id="rId19" w:history="1">
        <w:r w:rsidRPr="00C92BC2">
          <w:rPr>
            <w:rStyle w:val="Hyperlink"/>
            <w:rFonts w:asciiTheme="minorHAnsi" w:hAnsiTheme="minorHAnsi"/>
            <w:u w:val="none"/>
          </w:rPr>
          <w:t>http://m.great-wall.co/solutions/turnkey-plant/cement-production-line.html</w:t>
        </w:r>
      </w:hyperlink>
    </w:p>
  </w:footnote>
  <w:footnote w:id="21">
    <w:p w14:paraId="0756A827" w14:textId="77777777" w:rsidR="0089724E" w:rsidRPr="00C92BC2" w:rsidRDefault="0089724E" w:rsidP="00C92BC2">
      <w:pPr>
        <w:pStyle w:val="FootnoteText"/>
        <w:spacing w:line="240" w:lineRule="auto"/>
      </w:pPr>
      <w:r w:rsidRPr="00C92BC2">
        <w:rPr>
          <w:rStyle w:val="FootnoteReference"/>
        </w:rPr>
        <w:footnoteRef/>
      </w:r>
      <w:r w:rsidRPr="00C92BC2">
        <w:t xml:space="preserve"> http://cement.org/exec/cement_amend_fs_120.pdf</w:t>
      </w:r>
    </w:p>
  </w:footnote>
  <w:footnote w:id="22">
    <w:p w14:paraId="227DA0C2" w14:textId="77777777" w:rsidR="0089724E" w:rsidRPr="00C92BC2" w:rsidRDefault="0089724E" w:rsidP="00C92BC2">
      <w:pPr>
        <w:pStyle w:val="FootnoteText"/>
        <w:spacing w:line="240" w:lineRule="auto"/>
      </w:pPr>
      <w:r w:rsidRPr="00C92BC2">
        <w:rPr>
          <w:rStyle w:val="FootnoteReference"/>
        </w:rPr>
        <w:footnoteRef/>
      </w:r>
      <w:r w:rsidRPr="00C92BC2">
        <w:t xml:space="preserve"> http://cement.org/exec/cement_amend_fs_120.pdf</w:t>
      </w:r>
    </w:p>
  </w:footnote>
  <w:footnote w:id="23">
    <w:p w14:paraId="488CFBFB" w14:textId="77777777" w:rsidR="0089724E" w:rsidRPr="00C92BC2" w:rsidRDefault="0089724E" w:rsidP="00C92BC2">
      <w:pPr>
        <w:pStyle w:val="FootnoteText"/>
        <w:spacing w:line="240" w:lineRule="auto"/>
      </w:pPr>
      <w:r w:rsidRPr="00C92BC2">
        <w:rPr>
          <w:rStyle w:val="FootnoteReference"/>
        </w:rPr>
        <w:footnoteRef/>
      </w:r>
      <w:r w:rsidRPr="00C92BC2">
        <w:t xml:space="preserve"> http://cement.org/exec/cement_amend_fs_120.pdf</w:t>
      </w:r>
    </w:p>
  </w:footnote>
  <w:footnote w:id="24">
    <w:p w14:paraId="63ABAD4A" w14:textId="77777777" w:rsidR="0089724E" w:rsidRPr="00C92BC2" w:rsidRDefault="0089724E" w:rsidP="00C92BC2">
      <w:pPr>
        <w:pStyle w:val="FootnoteText"/>
        <w:spacing w:line="240" w:lineRule="auto"/>
        <w:rPr>
          <w:rFonts w:asciiTheme="minorHAnsi" w:hAnsiTheme="minorHAnsi"/>
        </w:rPr>
      </w:pPr>
      <w:r w:rsidRPr="00C92BC2">
        <w:rPr>
          <w:rStyle w:val="FootnoteReference"/>
          <w:rFonts w:asciiTheme="minorHAnsi" w:hAnsiTheme="minorHAnsi"/>
        </w:rPr>
        <w:footnoteRef/>
      </w:r>
      <w:r w:rsidRPr="00C92BC2">
        <w:rPr>
          <w:rFonts w:asciiTheme="minorHAnsi" w:hAnsiTheme="minorHAnsi"/>
        </w:rPr>
        <w:t xml:space="preserve"> M. P.M. </w:t>
      </w:r>
      <w:proofErr w:type="spellStart"/>
      <w:r w:rsidRPr="00C92BC2">
        <w:rPr>
          <w:rFonts w:asciiTheme="minorHAnsi" w:hAnsiTheme="minorHAnsi"/>
        </w:rPr>
        <w:t>Chinyama</w:t>
      </w:r>
      <w:proofErr w:type="spellEnd"/>
      <w:r w:rsidRPr="00C92BC2">
        <w:rPr>
          <w:rFonts w:asciiTheme="minorHAnsi" w:hAnsiTheme="minorHAnsi"/>
        </w:rPr>
        <w:t xml:space="preserve">, August 9, 2011. Chapter 11. Alternative Fuels in Cement Manufacturing. </w:t>
      </w:r>
      <w:hyperlink r:id="rId20" w:history="1">
        <w:r w:rsidRPr="00C92BC2">
          <w:rPr>
            <w:rStyle w:val="Hyperlink"/>
            <w:rFonts w:asciiTheme="minorHAnsi" w:hAnsiTheme="minorHAnsi"/>
            <w:u w:val="none"/>
          </w:rPr>
          <w:t>http://www.intechopen.com/books/alternative-fuel/alternative-fuels-in-cement-manufacturing</w:t>
        </w:r>
      </w:hyperlink>
    </w:p>
    <w:p w14:paraId="4C23D94E" w14:textId="77777777" w:rsidR="0089724E" w:rsidRPr="00C92BC2" w:rsidRDefault="0089724E" w:rsidP="00C92BC2">
      <w:pPr>
        <w:pStyle w:val="FootnoteText"/>
        <w:spacing w:line="240" w:lineRule="auto"/>
        <w:rPr>
          <w:rFonts w:asciiTheme="minorHAnsi" w:hAnsiTheme="minorHAnsi"/>
        </w:rPr>
      </w:pPr>
      <w:r w:rsidRPr="00C92BC2">
        <w:rPr>
          <w:rStyle w:val="FootnoteReference"/>
          <w:rFonts w:asciiTheme="minorHAnsi" w:hAnsiTheme="minorHAnsi"/>
        </w:rPr>
        <w:footnoteRef/>
      </w:r>
      <w:r w:rsidRPr="00C92BC2">
        <w:rPr>
          <w:rFonts w:asciiTheme="minorHAnsi" w:hAnsiTheme="minorHAnsi"/>
        </w:rPr>
        <w:t xml:space="preserve"> </w:t>
      </w:r>
      <w:hyperlink r:id="rId21" w:history="1">
        <w:r w:rsidRPr="00C92BC2">
          <w:rPr>
            <w:rStyle w:val="Hyperlink"/>
            <w:rFonts w:asciiTheme="minorHAnsi" w:hAnsiTheme="minorHAnsi"/>
            <w:u w:val="none"/>
          </w:rPr>
          <w:t>https://www3.epa.gov/ttncatc1/dir1/cement_updt_1107.pdf</w:t>
        </w:r>
      </w:hyperlink>
    </w:p>
  </w:footnote>
  <w:footnote w:id="25">
    <w:p w14:paraId="165474FB" w14:textId="77777777" w:rsidR="0089724E" w:rsidRPr="00C92BC2" w:rsidRDefault="0089724E" w:rsidP="00C92BC2">
      <w:pPr>
        <w:pStyle w:val="FootnoteText"/>
        <w:spacing w:line="240" w:lineRule="auto"/>
      </w:pPr>
      <w:r w:rsidRPr="00C92BC2">
        <w:rPr>
          <w:rStyle w:val="FootnoteReference"/>
        </w:rPr>
        <w:footnoteRef/>
      </w:r>
      <w:r w:rsidRPr="00C92BC2">
        <w:t xml:space="preserve"> Alternative Control Techniques Document Update - NOx Emissions from New Cement</w:t>
      </w:r>
    </w:p>
    <w:p w14:paraId="41188D63" w14:textId="77777777" w:rsidR="0089724E" w:rsidRPr="00C92BC2" w:rsidRDefault="0089724E" w:rsidP="00C92BC2">
      <w:pPr>
        <w:pStyle w:val="FootnoteText"/>
        <w:spacing w:line="240" w:lineRule="auto"/>
      </w:pPr>
      <w:r w:rsidRPr="00C92BC2">
        <w:t xml:space="preserve">Kilns, November 2007, EPA-453/R-07-006. </w:t>
      </w:r>
      <w:hyperlink r:id="rId22" w:history="1">
        <w:r w:rsidRPr="00C92BC2">
          <w:rPr>
            <w:rStyle w:val="Hyperlink"/>
            <w:u w:val="none"/>
          </w:rPr>
          <w:t>https://www3.epa.gov/ttncatc1/dir1/cement_updt_1107.pdf</w:t>
        </w:r>
      </w:hyperlink>
    </w:p>
  </w:footnote>
  <w:footnote w:id="26">
    <w:p w14:paraId="65F4DE63" w14:textId="77777777" w:rsidR="0089724E" w:rsidRPr="00C92BC2" w:rsidRDefault="0089724E" w:rsidP="00C92BC2">
      <w:pPr>
        <w:pStyle w:val="FootnoteText"/>
        <w:spacing w:line="240" w:lineRule="auto"/>
      </w:pPr>
      <w:r w:rsidRPr="00C92BC2">
        <w:rPr>
          <w:rStyle w:val="FootnoteReference"/>
        </w:rPr>
        <w:footnoteRef/>
      </w:r>
      <w:r w:rsidRPr="00C92BC2">
        <w:t xml:space="preserve"> Alternative Control Techniques Document Update - NOx Emissions from New Cement</w:t>
      </w:r>
    </w:p>
    <w:p w14:paraId="7E046A7B" w14:textId="77777777" w:rsidR="0089724E" w:rsidRPr="00C92BC2" w:rsidRDefault="0089724E" w:rsidP="00C92BC2">
      <w:pPr>
        <w:pStyle w:val="FootnoteText"/>
        <w:spacing w:line="240" w:lineRule="auto"/>
      </w:pPr>
      <w:r w:rsidRPr="00C92BC2">
        <w:t xml:space="preserve">Kilns, November 2007, EPA-453/R-07-006. </w:t>
      </w:r>
      <w:hyperlink r:id="rId23" w:history="1">
        <w:r w:rsidRPr="00C92BC2">
          <w:rPr>
            <w:rStyle w:val="Hyperlink"/>
            <w:u w:val="none"/>
          </w:rPr>
          <w:t>https://www3.epa.gov/ttncatc1/dir1/cement_updt_1107.pdf</w:t>
        </w:r>
      </w:hyperlink>
    </w:p>
  </w:footnote>
  <w:footnote w:id="27">
    <w:p w14:paraId="0A75EDD1" w14:textId="77777777" w:rsidR="0089724E" w:rsidRPr="00C92BC2" w:rsidRDefault="0089724E" w:rsidP="00C92BC2">
      <w:pPr>
        <w:pStyle w:val="FootnoteText"/>
        <w:spacing w:line="240" w:lineRule="auto"/>
      </w:pPr>
      <w:r w:rsidRPr="00C92BC2">
        <w:rPr>
          <w:rStyle w:val="FootnoteReference"/>
        </w:rPr>
        <w:footnoteRef/>
      </w:r>
      <w:r w:rsidRPr="00C92BC2">
        <w:t xml:space="preserve"> </w:t>
      </w:r>
      <w:r w:rsidRPr="00C92BC2">
        <w:rPr>
          <w:color w:val="000000" w:themeColor="text1"/>
        </w:rPr>
        <w:t xml:space="preserve">Adapted from EPA’s 2007 </w:t>
      </w:r>
      <w:r w:rsidRPr="00C92BC2">
        <w:t xml:space="preserve">Alternative Control Techniques Document Update - NOx Emissions from New Cement Kilns, November 2007, EPA-453/R-07-006. </w:t>
      </w:r>
      <w:hyperlink r:id="rId24" w:history="1">
        <w:r w:rsidRPr="00C92BC2">
          <w:rPr>
            <w:rStyle w:val="Hyperlink"/>
            <w:u w:val="none"/>
          </w:rPr>
          <w:t>https://www3.epa.gov/ttncatc1/dir1/cement_updt_1107.pdf</w:t>
        </w:r>
      </w:hyperlink>
    </w:p>
  </w:footnote>
  <w:footnote w:id="28">
    <w:p w14:paraId="69312B96" w14:textId="77777777" w:rsidR="0089724E" w:rsidRPr="00C92BC2" w:rsidRDefault="0089724E" w:rsidP="00C92BC2">
      <w:pPr>
        <w:spacing w:line="240" w:lineRule="auto"/>
        <w:rPr>
          <w:sz w:val="20"/>
          <w:szCs w:val="20"/>
        </w:rPr>
      </w:pPr>
      <w:r w:rsidRPr="00C92BC2">
        <w:rPr>
          <w:rStyle w:val="FootnoteReference"/>
          <w:sz w:val="20"/>
          <w:szCs w:val="20"/>
        </w:rPr>
        <w:footnoteRef/>
      </w:r>
      <w:r w:rsidRPr="00C92BC2">
        <w:rPr>
          <w:sz w:val="20"/>
          <w:szCs w:val="20"/>
        </w:rPr>
        <w:t xml:space="preserve"> </w:t>
      </w:r>
      <w:hyperlink r:id="rId25" w:history="1">
        <w:r w:rsidRPr="00C92BC2">
          <w:rPr>
            <w:rStyle w:val="Hyperlink"/>
            <w:sz w:val="20"/>
            <w:szCs w:val="20"/>
            <w:u w:val="none"/>
          </w:rPr>
          <w:t>https://www.epa.gov/enforcement/cement-manufacturing-enforcement-initiative</w:t>
        </w:r>
      </w:hyperlink>
    </w:p>
  </w:footnote>
  <w:footnote w:id="29">
    <w:p w14:paraId="1E621055" w14:textId="77777777" w:rsidR="0089724E" w:rsidRPr="00C92BC2" w:rsidRDefault="0089724E" w:rsidP="00C92BC2">
      <w:pPr>
        <w:pStyle w:val="FootnoteText"/>
        <w:spacing w:line="240" w:lineRule="auto"/>
      </w:pPr>
      <w:r w:rsidRPr="00C92BC2">
        <w:rPr>
          <w:rStyle w:val="FootnoteReference"/>
        </w:rPr>
        <w:footnoteRef/>
      </w:r>
      <w:r w:rsidRPr="00C92BC2">
        <w:t xml:space="preserve"> EPA April 2009 RIA. </w:t>
      </w:r>
      <w:hyperlink r:id="rId26" w:history="1">
        <w:r w:rsidRPr="00C92BC2">
          <w:rPr>
            <w:rStyle w:val="Hyperlink"/>
            <w:u w:val="none"/>
          </w:rPr>
          <w:t>https://www.epa.gov/stationary-sources-air-pollution/portland-cement-manufacturing-industry-national-emission-standards</w:t>
        </w:r>
      </w:hyperlink>
    </w:p>
  </w:footnote>
  <w:footnote w:id="30">
    <w:p w14:paraId="33194381" w14:textId="77777777" w:rsidR="0089724E" w:rsidRPr="00C92BC2" w:rsidRDefault="0089724E" w:rsidP="00C92BC2">
      <w:pPr>
        <w:pStyle w:val="FootnoteText"/>
        <w:spacing w:line="240" w:lineRule="auto"/>
      </w:pPr>
      <w:r w:rsidRPr="00C92BC2">
        <w:rPr>
          <w:rStyle w:val="FootnoteReference"/>
        </w:rPr>
        <w:footnoteRef/>
      </w:r>
      <w:r w:rsidRPr="00C92BC2">
        <w:t xml:space="preserve"> </w:t>
      </w:r>
      <w:r w:rsidRPr="00C92BC2">
        <w:rPr>
          <w:bCs/>
        </w:rPr>
        <w:t xml:space="preserve">Final Technical Support Document (TSD) for the Cross-State Air Pollution Rule for the 2008 Ozone NAAQS - </w:t>
      </w:r>
      <w:r w:rsidRPr="00C92BC2">
        <w:t xml:space="preserve">Assessment of Non-EGU NOx Emission Controls, Cost of Controls, and Time for Compliance Final TSD </w:t>
      </w:r>
      <w:r w:rsidRPr="00C92BC2">
        <w:rPr>
          <w:bCs/>
        </w:rPr>
        <w:t xml:space="preserve">(Docket ID No. EPA-HQ-OAR-2015-05). </w:t>
      </w:r>
      <w:hyperlink r:id="rId27" w:history="1">
        <w:r w:rsidRPr="00C92BC2">
          <w:rPr>
            <w:rStyle w:val="Hyperlink"/>
            <w:bCs/>
            <w:u w:val="none"/>
          </w:rPr>
          <w:t>https://www.epa.gov/sites/production/files/2017-05/documents/final_assessment_of_non-egu_nox_emission_controls_cost_of_controls_and_time_for_compliance_final_tsd.pdf</w:t>
        </w:r>
      </w:hyperlink>
    </w:p>
  </w:footnote>
  <w:footnote w:id="31">
    <w:p w14:paraId="6B3F6F4C" w14:textId="77777777" w:rsidR="0089724E" w:rsidRPr="00C92BC2" w:rsidRDefault="0089724E" w:rsidP="00C92BC2">
      <w:pPr>
        <w:pStyle w:val="FootnoteText"/>
        <w:spacing w:line="240" w:lineRule="auto"/>
      </w:pPr>
      <w:r w:rsidRPr="00C92BC2">
        <w:rPr>
          <w:rStyle w:val="FootnoteReference"/>
        </w:rPr>
        <w:footnoteRef/>
      </w:r>
      <w:r w:rsidRPr="00C92BC2">
        <w:t xml:space="preserve"> OTC RES 06-02 Concerning Coordination and Implementation of Regional ozone Control Strategies for Various Certain Source Categories, Adopted June 7, 2006. </w:t>
      </w:r>
      <w:hyperlink r:id="rId28" w:history="1">
        <w:r w:rsidRPr="00C92BC2">
          <w:rPr>
            <w:rStyle w:val="Hyperlink"/>
            <w:u w:val="none"/>
          </w:rPr>
          <w:t>http://otcair.org/upload/Documents/Formal%20Actions/RES_06-02_Certain%20Source%20Categories.pdf</w:t>
        </w:r>
      </w:hyperlink>
    </w:p>
  </w:footnote>
  <w:footnote w:id="32">
    <w:p w14:paraId="7B9DA2BA" w14:textId="77777777" w:rsidR="0089724E" w:rsidRPr="00C92BC2" w:rsidRDefault="0089724E" w:rsidP="00C92BC2">
      <w:pPr>
        <w:autoSpaceDE w:val="0"/>
        <w:autoSpaceDN w:val="0"/>
        <w:adjustRightInd w:val="0"/>
        <w:spacing w:line="240" w:lineRule="auto"/>
        <w:rPr>
          <w:rFonts w:cs="Calibri"/>
          <w:color w:val="000000"/>
          <w:sz w:val="20"/>
          <w:szCs w:val="20"/>
        </w:rPr>
      </w:pPr>
      <w:r w:rsidRPr="00C92BC2">
        <w:rPr>
          <w:rStyle w:val="FootnoteReference"/>
          <w:sz w:val="20"/>
          <w:szCs w:val="20"/>
        </w:rPr>
        <w:footnoteRef/>
      </w:r>
      <w:r w:rsidRPr="00C92BC2">
        <w:rPr>
          <w:sz w:val="20"/>
          <w:szCs w:val="20"/>
        </w:rPr>
        <w:t xml:space="preserve"> </w:t>
      </w:r>
      <w:r w:rsidRPr="00C92BC2">
        <w:rPr>
          <w:rFonts w:cs="Calibri"/>
          <w:color w:val="000000"/>
          <w:sz w:val="20"/>
          <w:szCs w:val="20"/>
        </w:rPr>
        <w:t xml:space="preserve">S. </w:t>
      </w:r>
      <w:proofErr w:type="spellStart"/>
      <w:r w:rsidRPr="00C92BC2">
        <w:rPr>
          <w:rFonts w:cs="Calibri"/>
          <w:color w:val="000000"/>
          <w:sz w:val="20"/>
          <w:szCs w:val="20"/>
        </w:rPr>
        <w:t>Barna</w:t>
      </w:r>
      <w:proofErr w:type="spellEnd"/>
      <w:r w:rsidRPr="00C92BC2">
        <w:rPr>
          <w:rFonts w:cs="Calibri"/>
          <w:color w:val="000000"/>
          <w:sz w:val="20"/>
          <w:szCs w:val="20"/>
        </w:rPr>
        <w:t>. 02/28/2007. Identification and Evaluation of Candidate Control Measures Final Technical Support</w:t>
      </w:r>
    </w:p>
    <w:p w14:paraId="6978BDF7" w14:textId="77777777" w:rsidR="0089724E" w:rsidRPr="00C92BC2" w:rsidRDefault="0089724E" w:rsidP="00C92BC2">
      <w:pPr>
        <w:pStyle w:val="FootnoteText"/>
        <w:spacing w:line="240" w:lineRule="auto"/>
      </w:pPr>
      <w:r w:rsidRPr="00C92BC2">
        <w:rPr>
          <w:rFonts w:cs="Calibri"/>
          <w:color w:val="000000"/>
        </w:rPr>
        <w:t xml:space="preserve">Document. </w:t>
      </w:r>
      <w:r w:rsidRPr="00C92BC2">
        <w:rPr>
          <w:rFonts w:cs="Calibri"/>
          <w:color w:val="0563C2"/>
        </w:rPr>
        <w:t>http://www.nj.gov/dep/baqp/2008%20Regional%20Haze/Appendix%20F-3.pdf</w:t>
      </w:r>
    </w:p>
  </w:footnote>
  <w:footnote w:id="33">
    <w:p w14:paraId="581CAB6F" w14:textId="549ADFEC" w:rsidR="0089724E" w:rsidRPr="00C92BC2" w:rsidRDefault="0089724E" w:rsidP="00C92BC2">
      <w:pPr>
        <w:pStyle w:val="FootnoteText"/>
        <w:spacing w:line="240" w:lineRule="auto"/>
      </w:pPr>
      <w:r w:rsidRPr="00C92BC2">
        <w:rPr>
          <w:rStyle w:val="FootnoteReference"/>
        </w:rPr>
        <w:footnoteRef/>
      </w:r>
      <w:r w:rsidRPr="00C92BC2">
        <w:t xml:space="preserve"> </w:t>
      </w:r>
      <w:r w:rsidRPr="002C5579">
        <w:t>Ibid</w:t>
      </w:r>
      <w:r>
        <w:t xml:space="preserve"> 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134C0" w14:textId="77777777" w:rsidR="0089724E" w:rsidRPr="009F284C" w:rsidRDefault="0089724E" w:rsidP="00177718">
    <w:pPr>
      <w:pStyle w:val="Header"/>
      <w:jc w:val="both"/>
      <w:rPr>
        <w:sz w:val="20"/>
        <w:szCs w:val="20"/>
      </w:rPr>
    </w:pPr>
    <w:r w:rsidRPr="009F284C">
      <w:rPr>
        <w:spacing w:val="5"/>
        <w:kern w:val="28"/>
        <w:sz w:val="20"/>
        <w:szCs w:val="20"/>
      </w:rPr>
      <w:t xml:space="preserve">Draft </w:t>
    </w:r>
    <w:r>
      <w:rPr>
        <w:spacing w:val="5"/>
        <w:kern w:val="28"/>
        <w:sz w:val="20"/>
        <w:szCs w:val="20"/>
      </w:rPr>
      <w:t>- NOx Control Measures for SAS</w:t>
    </w:r>
    <w:r>
      <w:rPr>
        <w:spacing w:val="5"/>
        <w:kern w:val="28"/>
        <w:sz w:val="20"/>
        <w:szCs w:val="20"/>
      </w:rPr>
      <w:tab/>
    </w:r>
    <w:r>
      <w:rPr>
        <w:spacing w:val="5"/>
        <w:kern w:val="28"/>
        <w:sz w:val="20"/>
        <w:szCs w:val="20"/>
      </w:rPr>
      <w:tab/>
      <w:t>08/21/2017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hanging="360"/>
      </w:pPr>
      <w:rPr>
        <w:rFonts w:ascii="Arial" w:hAnsi="Arial" w:cs="Arial"/>
        <w:b w:val="0"/>
        <w:bCs w:val="0"/>
        <w:w w:val="131"/>
        <w:sz w:val="24"/>
        <w:szCs w:val="24"/>
      </w:rPr>
    </w:lvl>
    <w:lvl w:ilvl="1">
      <w:numFmt w:val="bullet"/>
      <w:lvlText w:val="o"/>
      <w:lvlJc w:val="left"/>
      <w:pPr>
        <w:ind w:hanging="360"/>
      </w:pPr>
      <w:rPr>
        <w:rFonts w:ascii="Courier New" w:hAnsi="Courier New" w:cs="Courier New"/>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2633316"/>
    <w:multiLevelType w:val="hybridMultilevel"/>
    <w:tmpl w:val="46DE1EC8"/>
    <w:lvl w:ilvl="0" w:tplc="4454D1D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208AB"/>
    <w:multiLevelType w:val="hybridMultilevel"/>
    <w:tmpl w:val="6DCA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D6E5F"/>
    <w:multiLevelType w:val="hybridMultilevel"/>
    <w:tmpl w:val="8D5A454A"/>
    <w:lvl w:ilvl="0" w:tplc="9FDC3294">
      <w:numFmt w:val="bullet"/>
      <w:lvlText w:val="•"/>
      <w:lvlJc w:val="left"/>
      <w:pPr>
        <w:ind w:left="1620" w:hanging="360"/>
      </w:pPr>
      <w:rPr>
        <w:rFonts w:ascii="Calibri" w:eastAsiaTheme="minorHAnsi" w:hAnsi="Calibri" w:cstheme="minorBidi" w:hint="default"/>
        <w:sz w:val="20"/>
        <w:szCs w:val="2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0E4053FC"/>
    <w:multiLevelType w:val="hybridMultilevel"/>
    <w:tmpl w:val="6454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04E68"/>
    <w:multiLevelType w:val="hybridMultilevel"/>
    <w:tmpl w:val="1DC67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A33A5"/>
    <w:multiLevelType w:val="hybridMultilevel"/>
    <w:tmpl w:val="552A84BA"/>
    <w:lvl w:ilvl="0" w:tplc="54B05ED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12B89"/>
    <w:multiLevelType w:val="hybridMultilevel"/>
    <w:tmpl w:val="67245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C1767"/>
    <w:multiLevelType w:val="hybridMultilevel"/>
    <w:tmpl w:val="DE2E0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F1BE4"/>
    <w:multiLevelType w:val="hybridMultilevel"/>
    <w:tmpl w:val="F2044E7A"/>
    <w:lvl w:ilvl="0" w:tplc="EE805F3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0" w15:restartNumberingAfterBreak="0">
    <w:nsid w:val="1C8A08A1"/>
    <w:multiLevelType w:val="hybridMultilevel"/>
    <w:tmpl w:val="D35C3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EE5DE5"/>
    <w:multiLevelType w:val="hybridMultilevel"/>
    <w:tmpl w:val="DC88CE2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2" w15:restartNumberingAfterBreak="0">
    <w:nsid w:val="296C4B23"/>
    <w:multiLevelType w:val="hybridMultilevel"/>
    <w:tmpl w:val="92682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B7C6C8B"/>
    <w:multiLevelType w:val="multilevel"/>
    <w:tmpl w:val="0FDE2062"/>
    <w:lvl w:ilvl="0">
      <w:numFmt w:val="bullet"/>
      <w:lvlText w:val="•"/>
      <w:lvlJc w:val="left"/>
      <w:pPr>
        <w:ind w:hanging="360"/>
      </w:pPr>
      <w:rPr>
        <w:rFonts w:ascii="Arial" w:hAnsi="Arial" w:cs="Arial"/>
        <w:b w:val="0"/>
        <w:bCs w:val="0"/>
        <w:w w:val="131"/>
        <w:sz w:val="24"/>
        <w:szCs w:val="24"/>
      </w:rPr>
    </w:lvl>
    <w:lvl w:ilvl="1">
      <w:start w:val="1"/>
      <w:numFmt w:val="bullet"/>
      <w:lvlText w:val=""/>
      <w:lvlJc w:val="left"/>
      <w:pPr>
        <w:ind w:hanging="360"/>
      </w:pPr>
      <w:rPr>
        <w:rFonts w:ascii="Symbol" w:hAnsi="Symbol" w:hint="default"/>
        <w:b w:val="0"/>
        <w:bCs w:val="0"/>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43BD638E"/>
    <w:multiLevelType w:val="multilevel"/>
    <w:tmpl w:val="BC94E940"/>
    <w:lvl w:ilvl="0">
      <w:numFmt w:val="bullet"/>
      <w:lvlText w:val="•"/>
      <w:lvlJc w:val="left"/>
      <w:pPr>
        <w:ind w:hanging="360"/>
      </w:pPr>
      <w:rPr>
        <w:rFonts w:ascii="Arial" w:hAnsi="Arial" w:cs="Arial"/>
        <w:b w:val="0"/>
        <w:bCs w:val="0"/>
        <w:w w:val="131"/>
        <w:sz w:val="24"/>
        <w:szCs w:val="24"/>
      </w:rPr>
    </w:lvl>
    <w:lvl w:ilvl="1">
      <w:start w:val="1"/>
      <w:numFmt w:val="bullet"/>
      <w:lvlText w:val=""/>
      <w:lvlJc w:val="left"/>
      <w:pPr>
        <w:ind w:hanging="360"/>
      </w:pPr>
      <w:rPr>
        <w:rFonts w:ascii="Symbol" w:hAnsi="Symbol" w:hint="default"/>
        <w:b w:val="0"/>
        <w:bCs w:val="0"/>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4D8652B1"/>
    <w:multiLevelType w:val="hybridMultilevel"/>
    <w:tmpl w:val="17765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C799A"/>
    <w:multiLevelType w:val="hybridMultilevel"/>
    <w:tmpl w:val="A7224D7E"/>
    <w:lvl w:ilvl="0" w:tplc="E5AA4964">
      <w:start w:val="1"/>
      <w:numFmt w:val="bullet"/>
      <w:lvlText w:val="₋"/>
      <w:lvlJc w:val="left"/>
      <w:pPr>
        <w:ind w:left="720" w:hanging="360"/>
      </w:pPr>
      <w:rPr>
        <w:rFonts w:ascii="Calibri" w:hAnsi="Calibri"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C3643"/>
    <w:multiLevelType w:val="hybridMultilevel"/>
    <w:tmpl w:val="C5DE72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433768B"/>
    <w:multiLevelType w:val="hybridMultilevel"/>
    <w:tmpl w:val="21BEC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7703794"/>
    <w:multiLevelType w:val="hybridMultilevel"/>
    <w:tmpl w:val="C7521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1432CC"/>
    <w:multiLevelType w:val="hybridMultilevel"/>
    <w:tmpl w:val="EACE6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1B21521"/>
    <w:multiLevelType w:val="hybridMultilevel"/>
    <w:tmpl w:val="7D140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A27D74"/>
    <w:multiLevelType w:val="hybridMultilevel"/>
    <w:tmpl w:val="19CAAC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7BE71FC7"/>
    <w:multiLevelType w:val="hybridMultilevel"/>
    <w:tmpl w:val="7D884704"/>
    <w:lvl w:ilvl="0" w:tplc="EA6A7754">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num w:numId="1">
    <w:abstractNumId w:val="3"/>
  </w:num>
  <w:num w:numId="2">
    <w:abstractNumId w:val="16"/>
  </w:num>
  <w:num w:numId="3">
    <w:abstractNumId w:val="15"/>
  </w:num>
  <w:num w:numId="4">
    <w:abstractNumId w:val="4"/>
  </w:num>
  <w:num w:numId="5">
    <w:abstractNumId w:val="11"/>
  </w:num>
  <w:num w:numId="6">
    <w:abstractNumId w:val="6"/>
  </w:num>
  <w:num w:numId="7">
    <w:abstractNumId w:val="22"/>
  </w:num>
  <w:num w:numId="8">
    <w:abstractNumId w:val="23"/>
  </w:num>
  <w:num w:numId="9">
    <w:abstractNumId w:val="9"/>
  </w:num>
  <w:num w:numId="10">
    <w:abstractNumId w:val="12"/>
  </w:num>
  <w:num w:numId="11">
    <w:abstractNumId w:val="7"/>
  </w:num>
  <w:num w:numId="12">
    <w:abstractNumId w:val="19"/>
  </w:num>
  <w:num w:numId="13">
    <w:abstractNumId w:val="5"/>
  </w:num>
  <w:num w:numId="14">
    <w:abstractNumId w:val="3"/>
  </w:num>
  <w:num w:numId="15">
    <w:abstractNumId w:val="2"/>
  </w:num>
  <w:num w:numId="16">
    <w:abstractNumId w:val="20"/>
  </w:num>
  <w:num w:numId="17">
    <w:abstractNumId w:val="17"/>
  </w:num>
  <w:num w:numId="18">
    <w:abstractNumId w:val="21"/>
  </w:num>
  <w:num w:numId="19">
    <w:abstractNumId w:val="10"/>
  </w:num>
  <w:num w:numId="20">
    <w:abstractNumId w:val="8"/>
  </w:num>
  <w:num w:numId="21">
    <w:abstractNumId w:val="1"/>
  </w:num>
  <w:num w:numId="22">
    <w:abstractNumId w:val="0"/>
  </w:num>
  <w:num w:numId="23">
    <w:abstractNumId w:val="14"/>
  </w:num>
  <w:num w:numId="24">
    <w:abstractNumId w:val="13"/>
  </w:num>
  <w:num w:numId="25">
    <w:abstractNumId w:val="18"/>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tingill, Gene (DNREC)">
    <w15:presenceInfo w15:providerId="AD" w15:userId="S-1-5-21-1004336348-73586283-1417001333-8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trackRevisions/>
  <w:defaultTabStop w:val="21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F67"/>
    <w:rsid w:val="00001478"/>
    <w:rsid w:val="00002D6A"/>
    <w:rsid w:val="00002F4F"/>
    <w:rsid w:val="00003506"/>
    <w:rsid w:val="00003B39"/>
    <w:rsid w:val="00003B59"/>
    <w:rsid w:val="0000451B"/>
    <w:rsid w:val="00004686"/>
    <w:rsid w:val="00005D80"/>
    <w:rsid w:val="000077D9"/>
    <w:rsid w:val="00007B5A"/>
    <w:rsid w:val="000113F7"/>
    <w:rsid w:val="00011CA9"/>
    <w:rsid w:val="000124F0"/>
    <w:rsid w:val="00012796"/>
    <w:rsid w:val="000127C9"/>
    <w:rsid w:val="00014B94"/>
    <w:rsid w:val="00015F58"/>
    <w:rsid w:val="000207CD"/>
    <w:rsid w:val="00023872"/>
    <w:rsid w:val="00023B65"/>
    <w:rsid w:val="00027376"/>
    <w:rsid w:val="0002777E"/>
    <w:rsid w:val="00027E4A"/>
    <w:rsid w:val="00031A00"/>
    <w:rsid w:val="00031B09"/>
    <w:rsid w:val="000336D6"/>
    <w:rsid w:val="00033E99"/>
    <w:rsid w:val="00037186"/>
    <w:rsid w:val="000378E5"/>
    <w:rsid w:val="00041BD2"/>
    <w:rsid w:val="000431C2"/>
    <w:rsid w:val="000438C5"/>
    <w:rsid w:val="00043964"/>
    <w:rsid w:val="00045A1B"/>
    <w:rsid w:val="00045FFC"/>
    <w:rsid w:val="00046D25"/>
    <w:rsid w:val="0004774B"/>
    <w:rsid w:val="000500B3"/>
    <w:rsid w:val="00050830"/>
    <w:rsid w:val="00053C46"/>
    <w:rsid w:val="000542D3"/>
    <w:rsid w:val="00054649"/>
    <w:rsid w:val="00055802"/>
    <w:rsid w:val="00057F88"/>
    <w:rsid w:val="000602D6"/>
    <w:rsid w:val="0006094D"/>
    <w:rsid w:val="00060989"/>
    <w:rsid w:val="00062A46"/>
    <w:rsid w:val="00062B6B"/>
    <w:rsid w:val="00063266"/>
    <w:rsid w:val="00063AF4"/>
    <w:rsid w:val="000648CB"/>
    <w:rsid w:val="00066219"/>
    <w:rsid w:val="000665BF"/>
    <w:rsid w:val="0007123D"/>
    <w:rsid w:val="0007180D"/>
    <w:rsid w:val="00071D9E"/>
    <w:rsid w:val="00073153"/>
    <w:rsid w:val="00073775"/>
    <w:rsid w:val="0007431E"/>
    <w:rsid w:val="00075F50"/>
    <w:rsid w:val="00076F67"/>
    <w:rsid w:val="00077A92"/>
    <w:rsid w:val="000806D4"/>
    <w:rsid w:val="00082739"/>
    <w:rsid w:val="000831F8"/>
    <w:rsid w:val="00086676"/>
    <w:rsid w:val="00087EB7"/>
    <w:rsid w:val="000901DD"/>
    <w:rsid w:val="0009215C"/>
    <w:rsid w:val="0009219B"/>
    <w:rsid w:val="000925FC"/>
    <w:rsid w:val="00093BA8"/>
    <w:rsid w:val="0009463C"/>
    <w:rsid w:val="00094898"/>
    <w:rsid w:val="00094ADA"/>
    <w:rsid w:val="00095542"/>
    <w:rsid w:val="00096301"/>
    <w:rsid w:val="00096C80"/>
    <w:rsid w:val="000976F2"/>
    <w:rsid w:val="000A08E9"/>
    <w:rsid w:val="000A12FB"/>
    <w:rsid w:val="000A149C"/>
    <w:rsid w:val="000A1B2F"/>
    <w:rsid w:val="000A2161"/>
    <w:rsid w:val="000A45E1"/>
    <w:rsid w:val="000A48DC"/>
    <w:rsid w:val="000A6DD5"/>
    <w:rsid w:val="000B2078"/>
    <w:rsid w:val="000B3181"/>
    <w:rsid w:val="000B3968"/>
    <w:rsid w:val="000B3C34"/>
    <w:rsid w:val="000B6E67"/>
    <w:rsid w:val="000C021D"/>
    <w:rsid w:val="000C031D"/>
    <w:rsid w:val="000C1512"/>
    <w:rsid w:val="000C2867"/>
    <w:rsid w:val="000C37F8"/>
    <w:rsid w:val="000C4A45"/>
    <w:rsid w:val="000C5368"/>
    <w:rsid w:val="000C55B5"/>
    <w:rsid w:val="000D00FA"/>
    <w:rsid w:val="000D1C12"/>
    <w:rsid w:val="000D4AE5"/>
    <w:rsid w:val="000D79CD"/>
    <w:rsid w:val="000E3DEE"/>
    <w:rsid w:val="000E41E1"/>
    <w:rsid w:val="000E5A92"/>
    <w:rsid w:val="000E604B"/>
    <w:rsid w:val="000E6FFE"/>
    <w:rsid w:val="000E747D"/>
    <w:rsid w:val="000F129D"/>
    <w:rsid w:val="000F4FB4"/>
    <w:rsid w:val="000F4FFB"/>
    <w:rsid w:val="000F5018"/>
    <w:rsid w:val="000F560F"/>
    <w:rsid w:val="0010101C"/>
    <w:rsid w:val="00101C91"/>
    <w:rsid w:val="001032F0"/>
    <w:rsid w:val="00103AA7"/>
    <w:rsid w:val="001042DA"/>
    <w:rsid w:val="00105707"/>
    <w:rsid w:val="00107E25"/>
    <w:rsid w:val="0011141D"/>
    <w:rsid w:val="0011202D"/>
    <w:rsid w:val="00113568"/>
    <w:rsid w:val="00113DDA"/>
    <w:rsid w:val="00114C26"/>
    <w:rsid w:val="00114E30"/>
    <w:rsid w:val="00115A69"/>
    <w:rsid w:val="00115FA8"/>
    <w:rsid w:val="00115FE2"/>
    <w:rsid w:val="00116AEF"/>
    <w:rsid w:val="00120741"/>
    <w:rsid w:val="00120868"/>
    <w:rsid w:val="00123363"/>
    <w:rsid w:val="00124C99"/>
    <w:rsid w:val="00127D0F"/>
    <w:rsid w:val="00131749"/>
    <w:rsid w:val="00131AB8"/>
    <w:rsid w:val="001331CA"/>
    <w:rsid w:val="00133364"/>
    <w:rsid w:val="00133888"/>
    <w:rsid w:val="001339E6"/>
    <w:rsid w:val="00135360"/>
    <w:rsid w:val="00140257"/>
    <w:rsid w:val="001412CB"/>
    <w:rsid w:val="0014256D"/>
    <w:rsid w:val="00146EB0"/>
    <w:rsid w:val="00146FED"/>
    <w:rsid w:val="00147F09"/>
    <w:rsid w:val="0015202A"/>
    <w:rsid w:val="00152480"/>
    <w:rsid w:val="0015762B"/>
    <w:rsid w:val="0016072B"/>
    <w:rsid w:val="00160820"/>
    <w:rsid w:val="00160861"/>
    <w:rsid w:val="00161609"/>
    <w:rsid w:val="00161EA5"/>
    <w:rsid w:val="00162E64"/>
    <w:rsid w:val="00163420"/>
    <w:rsid w:val="0016428D"/>
    <w:rsid w:val="00164472"/>
    <w:rsid w:val="00164646"/>
    <w:rsid w:val="00165431"/>
    <w:rsid w:val="00165578"/>
    <w:rsid w:val="00165B68"/>
    <w:rsid w:val="00166123"/>
    <w:rsid w:val="00170D27"/>
    <w:rsid w:val="00172DCA"/>
    <w:rsid w:val="0017358F"/>
    <w:rsid w:val="00174960"/>
    <w:rsid w:val="00177718"/>
    <w:rsid w:val="001808D4"/>
    <w:rsid w:val="00180B60"/>
    <w:rsid w:val="00181876"/>
    <w:rsid w:val="00181AC6"/>
    <w:rsid w:val="00182DA2"/>
    <w:rsid w:val="001833CC"/>
    <w:rsid w:val="00183E13"/>
    <w:rsid w:val="0018727B"/>
    <w:rsid w:val="001872CF"/>
    <w:rsid w:val="00187782"/>
    <w:rsid w:val="00190587"/>
    <w:rsid w:val="00190914"/>
    <w:rsid w:val="00190A13"/>
    <w:rsid w:val="00191DAD"/>
    <w:rsid w:val="00191F77"/>
    <w:rsid w:val="001951B0"/>
    <w:rsid w:val="001A0A40"/>
    <w:rsid w:val="001A2174"/>
    <w:rsid w:val="001A44C8"/>
    <w:rsid w:val="001A4BDD"/>
    <w:rsid w:val="001A4DF9"/>
    <w:rsid w:val="001A5529"/>
    <w:rsid w:val="001A5630"/>
    <w:rsid w:val="001A6ABF"/>
    <w:rsid w:val="001B0354"/>
    <w:rsid w:val="001B38EC"/>
    <w:rsid w:val="001B3CD5"/>
    <w:rsid w:val="001B4125"/>
    <w:rsid w:val="001B4B2D"/>
    <w:rsid w:val="001B4EA6"/>
    <w:rsid w:val="001C10A0"/>
    <w:rsid w:val="001C125F"/>
    <w:rsid w:val="001C398B"/>
    <w:rsid w:val="001C3EA1"/>
    <w:rsid w:val="001C41D1"/>
    <w:rsid w:val="001C4826"/>
    <w:rsid w:val="001C7F9F"/>
    <w:rsid w:val="001D2499"/>
    <w:rsid w:val="001D406D"/>
    <w:rsid w:val="001D5A5F"/>
    <w:rsid w:val="001E2362"/>
    <w:rsid w:val="001E3A17"/>
    <w:rsid w:val="001E3E98"/>
    <w:rsid w:val="001E5D80"/>
    <w:rsid w:val="001E7DFE"/>
    <w:rsid w:val="001E7ED2"/>
    <w:rsid w:val="001F4379"/>
    <w:rsid w:val="001F46C2"/>
    <w:rsid w:val="001F7B20"/>
    <w:rsid w:val="001F7F36"/>
    <w:rsid w:val="00200191"/>
    <w:rsid w:val="002002F5"/>
    <w:rsid w:val="00200B6B"/>
    <w:rsid w:val="0020144E"/>
    <w:rsid w:val="00210C4D"/>
    <w:rsid w:val="0021424F"/>
    <w:rsid w:val="0021467B"/>
    <w:rsid w:val="0021481C"/>
    <w:rsid w:val="00215FDB"/>
    <w:rsid w:val="00216940"/>
    <w:rsid w:val="00217119"/>
    <w:rsid w:val="002205F7"/>
    <w:rsid w:val="00220D65"/>
    <w:rsid w:val="0022153E"/>
    <w:rsid w:val="002222CE"/>
    <w:rsid w:val="00225595"/>
    <w:rsid w:val="002261EE"/>
    <w:rsid w:val="00227E5F"/>
    <w:rsid w:val="00234FD4"/>
    <w:rsid w:val="002354FC"/>
    <w:rsid w:val="00236A9C"/>
    <w:rsid w:val="00237348"/>
    <w:rsid w:val="0024254C"/>
    <w:rsid w:val="00244321"/>
    <w:rsid w:val="00244B38"/>
    <w:rsid w:val="00246E80"/>
    <w:rsid w:val="002472D2"/>
    <w:rsid w:val="00250997"/>
    <w:rsid w:val="00252029"/>
    <w:rsid w:val="002536C2"/>
    <w:rsid w:val="002559E4"/>
    <w:rsid w:val="00255E84"/>
    <w:rsid w:val="00255F4A"/>
    <w:rsid w:val="0025715C"/>
    <w:rsid w:val="002573FF"/>
    <w:rsid w:val="00262105"/>
    <w:rsid w:val="00262E18"/>
    <w:rsid w:val="00263350"/>
    <w:rsid w:val="00263BE8"/>
    <w:rsid w:val="0026454E"/>
    <w:rsid w:val="00265016"/>
    <w:rsid w:val="00270ED4"/>
    <w:rsid w:val="002712A4"/>
    <w:rsid w:val="002719FA"/>
    <w:rsid w:val="00272077"/>
    <w:rsid w:val="00274705"/>
    <w:rsid w:val="00276E1B"/>
    <w:rsid w:val="00277986"/>
    <w:rsid w:val="00277BD1"/>
    <w:rsid w:val="00281938"/>
    <w:rsid w:val="00281BD6"/>
    <w:rsid w:val="002833AB"/>
    <w:rsid w:val="002839AB"/>
    <w:rsid w:val="002869B1"/>
    <w:rsid w:val="00290896"/>
    <w:rsid w:val="002931B4"/>
    <w:rsid w:val="002936F0"/>
    <w:rsid w:val="0029498F"/>
    <w:rsid w:val="00294F1C"/>
    <w:rsid w:val="00296598"/>
    <w:rsid w:val="00297F87"/>
    <w:rsid w:val="002A0F32"/>
    <w:rsid w:val="002A19CD"/>
    <w:rsid w:val="002A3230"/>
    <w:rsid w:val="002A46BA"/>
    <w:rsid w:val="002A5B75"/>
    <w:rsid w:val="002A69FF"/>
    <w:rsid w:val="002B0E95"/>
    <w:rsid w:val="002B15B7"/>
    <w:rsid w:val="002B2C24"/>
    <w:rsid w:val="002B4C03"/>
    <w:rsid w:val="002C203E"/>
    <w:rsid w:val="002C34E9"/>
    <w:rsid w:val="002C402E"/>
    <w:rsid w:val="002C5413"/>
    <w:rsid w:val="002C5579"/>
    <w:rsid w:val="002C573C"/>
    <w:rsid w:val="002D3E18"/>
    <w:rsid w:val="002D4826"/>
    <w:rsid w:val="002D55EB"/>
    <w:rsid w:val="002D5E5C"/>
    <w:rsid w:val="002E0143"/>
    <w:rsid w:val="002E0FD1"/>
    <w:rsid w:val="002E11DB"/>
    <w:rsid w:val="002E3293"/>
    <w:rsid w:val="002E511E"/>
    <w:rsid w:val="002E5845"/>
    <w:rsid w:val="002E5A0A"/>
    <w:rsid w:val="002E5C96"/>
    <w:rsid w:val="002E637B"/>
    <w:rsid w:val="002E6B26"/>
    <w:rsid w:val="002F1B13"/>
    <w:rsid w:val="002F1F85"/>
    <w:rsid w:val="002F22BB"/>
    <w:rsid w:val="002F30E8"/>
    <w:rsid w:val="002F4B6F"/>
    <w:rsid w:val="002F53E0"/>
    <w:rsid w:val="002F6C3D"/>
    <w:rsid w:val="002F6F42"/>
    <w:rsid w:val="002F75B6"/>
    <w:rsid w:val="003018FF"/>
    <w:rsid w:val="00302DBA"/>
    <w:rsid w:val="003036AE"/>
    <w:rsid w:val="0030414C"/>
    <w:rsid w:val="00304C37"/>
    <w:rsid w:val="00305B4B"/>
    <w:rsid w:val="003063FD"/>
    <w:rsid w:val="0030798F"/>
    <w:rsid w:val="0031181A"/>
    <w:rsid w:val="003135DE"/>
    <w:rsid w:val="00313FC8"/>
    <w:rsid w:val="00315424"/>
    <w:rsid w:val="00317F37"/>
    <w:rsid w:val="003212D4"/>
    <w:rsid w:val="00321AB0"/>
    <w:rsid w:val="00330163"/>
    <w:rsid w:val="00335F43"/>
    <w:rsid w:val="00341097"/>
    <w:rsid w:val="003425E9"/>
    <w:rsid w:val="0034311B"/>
    <w:rsid w:val="003444B4"/>
    <w:rsid w:val="00350962"/>
    <w:rsid w:val="00351F83"/>
    <w:rsid w:val="00352A38"/>
    <w:rsid w:val="00357F90"/>
    <w:rsid w:val="00357F9C"/>
    <w:rsid w:val="003612E9"/>
    <w:rsid w:val="00363834"/>
    <w:rsid w:val="00363A9F"/>
    <w:rsid w:val="00364C13"/>
    <w:rsid w:val="003702BB"/>
    <w:rsid w:val="00370FF2"/>
    <w:rsid w:val="00371922"/>
    <w:rsid w:val="00372C07"/>
    <w:rsid w:val="003740B1"/>
    <w:rsid w:val="0037478A"/>
    <w:rsid w:val="003807CA"/>
    <w:rsid w:val="003901F8"/>
    <w:rsid w:val="00391165"/>
    <w:rsid w:val="00391CBD"/>
    <w:rsid w:val="003926F0"/>
    <w:rsid w:val="00392B17"/>
    <w:rsid w:val="00393A3F"/>
    <w:rsid w:val="00394F90"/>
    <w:rsid w:val="0039576C"/>
    <w:rsid w:val="00395B36"/>
    <w:rsid w:val="00396C44"/>
    <w:rsid w:val="003971BA"/>
    <w:rsid w:val="003974C8"/>
    <w:rsid w:val="00397A5E"/>
    <w:rsid w:val="003A1190"/>
    <w:rsid w:val="003A64D5"/>
    <w:rsid w:val="003A693E"/>
    <w:rsid w:val="003A7ACD"/>
    <w:rsid w:val="003B084A"/>
    <w:rsid w:val="003B2587"/>
    <w:rsid w:val="003B3AEB"/>
    <w:rsid w:val="003B4B9E"/>
    <w:rsid w:val="003B4CC7"/>
    <w:rsid w:val="003B6149"/>
    <w:rsid w:val="003B7F91"/>
    <w:rsid w:val="003C0412"/>
    <w:rsid w:val="003C39C3"/>
    <w:rsid w:val="003C413F"/>
    <w:rsid w:val="003C4A5D"/>
    <w:rsid w:val="003C50E3"/>
    <w:rsid w:val="003C5944"/>
    <w:rsid w:val="003C6630"/>
    <w:rsid w:val="003D20F4"/>
    <w:rsid w:val="003D31E7"/>
    <w:rsid w:val="003D59B2"/>
    <w:rsid w:val="003E002E"/>
    <w:rsid w:val="003E2941"/>
    <w:rsid w:val="003E2C17"/>
    <w:rsid w:val="003E302B"/>
    <w:rsid w:val="003E334B"/>
    <w:rsid w:val="003E443F"/>
    <w:rsid w:val="003E4F55"/>
    <w:rsid w:val="003E69F3"/>
    <w:rsid w:val="003E7507"/>
    <w:rsid w:val="003E750D"/>
    <w:rsid w:val="003E7A46"/>
    <w:rsid w:val="003E7EC5"/>
    <w:rsid w:val="003F01BA"/>
    <w:rsid w:val="003F0C68"/>
    <w:rsid w:val="003F0E1F"/>
    <w:rsid w:val="003F108F"/>
    <w:rsid w:val="003F139C"/>
    <w:rsid w:val="003F30E6"/>
    <w:rsid w:val="003F47F5"/>
    <w:rsid w:val="003F4836"/>
    <w:rsid w:val="003F6A15"/>
    <w:rsid w:val="00400B71"/>
    <w:rsid w:val="0040210D"/>
    <w:rsid w:val="004021D3"/>
    <w:rsid w:val="00402E1B"/>
    <w:rsid w:val="00403014"/>
    <w:rsid w:val="00404EFA"/>
    <w:rsid w:val="004052E7"/>
    <w:rsid w:val="00405F35"/>
    <w:rsid w:val="00406706"/>
    <w:rsid w:val="00406E1D"/>
    <w:rsid w:val="00412F5C"/>
    <w:rsid w:val="004136F6"/>
    <w:rsid w:val="00414869"/>
    <w:rsid w:val="004156AA"/>
    <w:rsid w:val="00416528"/>
    <w:rsid w:val="004170AD"/>
    <w:rsid w:val="00417B3C"/>
    <w:rsid w:val="00420A95"/>
    <w:rsid w:val="00421170"/>
    <w:rsid w:val="00426E64"/>
    <w:rsid w:val="00427F62"/>
    <w:rsid w:val="00430348"/>
    <w:rsid w:val="00430744"/>
    <w:rsid w:val="00431BA9"/>
    <w:rsid w:val="00432615"/>
    <w:rsid w:val="00432EF3"/>
    <w:rsid w:val="0043504E"/>
    <w:rsid w:val="0043530E"/>
    <w:rsid w:val="00436843"/>
    <w:rsid w:val="00440FDB"/>
    <w:rsid w:val="00441218"/>
    <w:rsid w:val="00443350"/>
    <w:rsid w:val="004434C2"/>
    <w:rsid w:val="00443C67"/>
    <w:rsid w:val="00444140"/>
    <w:rsid w:val="0044559F"/>
    <w:rsid w:val="00447F06"/>
    <w:rsid w:val="0045372F"/>
    <w:rsid w:val="00454AC8"/>
    <w:rsid w:val="00454CC6"/>
    <w:rsid w:val="0045635B"/>
    <w:rsid w:val="004568B5"/>
    <w:rsid w:val="004569A4"/>
    <w:rsid w:val="00457103"/>
    <w:rsid w:val="00457AF7"/>
    <w:rsid w:val="004615B7"/>
    <w:rsid w:val="00461B89"/>
    <w:rsid w:val="00461E12"/>
    <w:rsid w:val="00463ADC"/>
    <w:rsid w:val="00464024"/>
    <w:rsid w:val="0046494B"/>
    <w:rsid w:val="00464B08"/>
    <w:rsid w:val="00465B93"/>
    <w:rsid w:val="00472E2A"/>
    <w:rsid w:val="004731DB"/>
    <w:rsid w:val="00474447"/>
    <w:rsid w:val="004756E9"/>
    <w:rsid w:val="00475B21"/>
    <w:rsid w:val="00475F70"/>
    <w:rsid w:val="0047786E"/>
    <w:rsid w:val="00480333"/>
    <w:rsid w:val="00481319"/>
    <w:rsid w:val="00482CE5"/>
    <w:rsid w:val="00483244"/>
    <w:rsid w:val="004835E9"/>
    <w:rsid w:val="00483D11"/>
    <w:rsid w:val="00484402"/>
    <w:rsid w:val="00484DE3"/>
    <w:rsid w:val="004866CB"/>
    <w:rsid w:val="0048737E"/>
    <w:rsid w:val="0049065B"/>
    <w:rsid w:val="004914B8"/>
    <w:rsid w:val="00492E01"/>
    <w:rsid w:val="00492EA8"/>
    <w:rsid w:val="0049431F"/>
    <w:rsid w:val="00495C7F"/>
    <w:rsid w:val="00496C9D"/>
    <w:rsid w:val="004A0FD1"/>
    <w:rsid w:val="004A2748"/>
    <w:rsid w:val="004A4106"/>
    <w:rsid w:val="004A7C32"/>
    <w:rsid w:val="004A7D9F"/>
    <w:rsid w:val="004B005A"/>
    <w:rsid w:val="004B0C07"/>
    <w:rsid w:val="004B2780"/>
    <w:rsid w:val="004B2E37"/>
    <w:rsid w:val="004B33B3"/>
    <w:rsid w:val="004B53B7"/>
    <w:rsid w:val="004B6B2E"/>
    <w:rsid w:val="004B7B67"/>
    <w:rsid w:val="004C05B2"/>
    <w:rsid w:val="004C13A0"/>
    <w:rsid w:val="004C169F"/>
    <w:rsid w:val="004C1829"/>
    <w:rsid w:val="004C47C1"/>
    <w:rsid w:val="004C521E"/>
    <w:rsid w:val="004C6EAC"/>
    <w:rsid w:val="004C77FE"/>
    <w:rsid w:val="004D2365"/>
    <w:rsid w:val="004D2A75"/>
    <w:rsid w:val="004D2C8E"/>
    <w:rsid w:val="004D490C"/>
    <w:rsid w:val="004D4EB3"/>
    <w:rsid w:val="004D5A2F"/>
    <w:rsid w:val="004D7521"/>
    <w:rsid w:val="004D7600"/>
    <w:rsid w:val="004D78BB"/>
    <w:rsid w:val="004E5CFF"/>
    <w:rsid w:val="004E5F46"/>
    <w:rsid w:val="004F01F5"/>
    <w:rsid w:val="004F06C4"/>
    <w:rsid w:val="004F1AD2"/>
    <w:rsid w:val="004F3A64"/>
    <w:rsid w:val="004F3CC7"/>
    <w:rsid w:val="004F561F"/>
    <w:rsid w:val="004F618E"/>
    <w:rsid w:val="005000FF"/>
    <w:rsid w:val="005017A7"/>
    <w:rsid w:val="0050297C"/>
    <w:rsid w:val="00503A3B"/>
    <w:rsid w:val="00505494"/>
    <w:rsid w:val="00506C35"/>
    <w:rsid w:val="00513B91"/>
    <w:rsid w:val="005145AC"/>
    <w:rsid w:val="00515064"/>
    <w:rsid w:val="00517613"/>
    <w:rsid w:val="00517B51"/>
    <w:rsid w:val="00523D7D"/>
    <w:rsid w:val="005248AE"/>
    <w:rsid w:val="005259F3"/>
    <w:rsid w:val="00530E34"/>
    <w:rsid w:val="00531243"/>
    <w:rsid w:val="00532052"/>
    <w:rsid w:val="0053537B"/>
    <w:rsid w:val="005357D9"/>
    <w:rsid w:val="005362F4"/>
    <w:rsid w:val="0053683E"/>
    <w:rsid w:val="00536D47"/>
    <w:rsid w:val="00536E8F"/>
    <w:rsid w:val="0054065B"/>
    <w:rsid w:val="00540B81"/>
    <w:rsid w:val="00540C2E"/>
    <w:rsid w:val="005419C0"/>
    <w:rsid w:val="00542980"/>
    <w:rsid w:val="00544A53"/>
    <w:rsid w:val="005472D3"/>
    <w:rsid w:val="00547B43"/>
    <w:rsid w:val="0055132E"/>
    <w:rsid w:val="00551BB4"/>
    <w:rsid w:val="005521DE"/>
    <w:rsid w:val="00553CD9"/>
    <w:rsid w:val="00554944"/>
    <w:rsid w:val="00556564"/>
    <w:rsid w:val="00557D4B"/>
    <w:rsid w:val="00560EF1"/>
    <w:rsid w:val="005610E2"/>
    <w:rsid w:val="00562A1F"/>
    <w:rsid w:val="005649B3"/>
    <w:rsid w:val="00564BFD"/>
    <w:rsid w:val="0056608D"/>
    <w:rsid w:val="00566F85"/>
    <w:rsid w:val="00566FF5"/>
    <w:rsid w:val="005709B8"/>
    <w:rsid w:val="00570E2F"/>
    <w:rsid w:val="00572E7B"/>
    <w:rsid w:val="005738D8"/>
    <w:rsid w:val="00574DB9"/>
    <w:rsid w:val="005773DD"/>
    <w:rsid w:val="00582805"/>
    <w:rsid w:val="0058284C"/>
    <w:rsid w:val="00585BB6"/>
    <w:rsid w:val="005864B1"/>
    <w:rsid w:val="00587990"/>
    <w:rsid w:val="00590FBC"/>
    <w:rsid w:val="00594D5E"/>
    <w:rsid w:val="005A33A9"/>
    <w:rsid w:val="005A3CCA"/>
    <w:rsid w:val="005A57C9"/>
    <w:rsid w:val="005A64E9"/>
    <w:rsid w:val="005A75BA"/>
    <w:rsid w:val="005A76E9"/>
    <w:rsid w:val="005B04DF"/>
    <w:rsid w:val="005B121B"/>
    <w:rsid w:val="005B152B"/>
    <w:rsid w:val="005B266B"/>
    <w:rsid w:val="005B2951"/>
    <w:rsid w:val="005B2F3B"/>
    <w:rsid w:val="005B4E92"/>
    <w:rsid w:val="005B5916"/>
    <w:rsid w:val="005B5B3D"/>
    <w:rsid w:val="005C0647"/>
    <w:rsid w:val="005C1A8F"/>
    <w:rsid w:val="005C474B"/>
    <w:rsid w:val="005C47F9"/>
    <w:rsid w:val="005D074B"/>
    <w:rsid w:val="005D258A"/>
    <w:rsid w:val="005D3664"/>
    <w:rsid w:val="005D56E5"/>
    <w:rsid w:val="005D6562"/>
    <w:rsid w:val="005D65E1"/>
    <w:rsid w:val="005D705A"/>
    <w:rsid w:val="005D7E27"/>
    <w:rsid w:val="005E126E"/>
    <w:rsid w:val="005E52A9"/>
    <w:rsid w:val="005E57A8"/>
    <w:rsid w:val="005E5C9E"/>
    <w:rsid w:val="005F246D"/>
    <w:rsid w:val="005F2CAC"/>
    <w:rsid w:val="005F358A"/>
    <w:rsid w:val="005F3CDA"/>
    <w:rsid w:val="005F77AA"/>
    <w:rsid w:val="005F7D48"/>
    <w:rsid w:val="006009A9"/>
    <w:rsid w:val="00601013"/>
    <w:rsid w:val="00601625"/>
    <w:rsid w:val="006016B7"/>
    <w:rsid w:val="00606604"/>
    <w:rsid w:val="00607ABC"/>
    <w:rsid w:val="00610037"/>
    <w:rsid w:val="00612604"/>
    <w:rsid w:val="00614B29"/>
    <w:rsid w:val="0061534B"/>
    <w:rsid w:val="00616270"/>
    <w:rsid w:val="0061729D"/>
    <w:rsid w:val="00617405"/>
    <w:rsid w:val="00617C4A"/>
    <w:rsid w:val="00617E98"/>
    <w:rsid w:val="00620D9A"/>
    <w:rsid w:val="006260AF"/>
    <w:rsid w:val="0062628F"/>
    <w:rsid w:val="00627515"/>
    <w:rsid w:val="0062768D"/>
    <w:rsid w:val="00631FDA"/>
    <w:rsid w:val="0063452A"/>
    <w:rsid w:val="0063454A"/>
    <w:rsid w:val="00634ED7"/>
    <w:rsid w:val="006357D4"/>
    <w:rsid w:val="006406D0"/>
    <w:rsid w:val="006408BD"/>
    <w:rsid w:val="0064208D"/>
    <w:rsid w:val="0064275E"/>
    <w:rsid w:val="0064388F"/>
    <w:rsid w:val="00643A8B"/>
    <w:rsid w:val="00643C74"/>
    <w:rsid w:val="00643F24"/>
    <w:rsid w:val="00645918"/>
    <w:rsid w:val="00646464"/>
    <w:rsid w:val="00646F4A"/>
    <w:rsid w:val="006478C2"/>
    <w:rsid w:val="006501A6"/>
    <w:rsid w:val="00652160"/>
    <w:rsid w:val="006528AF"/>
    <w:rsid w:val="00654583"/>
    <w:rsid w:val="006553C3"/>
    <w:rsid w:val="00656727"/>
    <w:rsid w:val="00656EFE"/>
    <w:rsid w:val="006570E2"/>
    <w:rsid w:val="006572D0"/>
    <w:rsid w:val="0065787E"/>
    <w:rsid w:val="00657E29"/>
    <w:rsid w:val="00661CB2"/>
    <w:rsid w:val="006635AC"/>
    <w:rsid w:val="006643B9"/>
    <w:rsid w:val="0066501C"/>
    <w:rsid w:val="006654B5"/>
    <w:rsid w:val="00666352"/>
    <w:rsid w:val="0067077D"/>
    <w:rsid w:val="00671671"/>
    <w:rsid w:val="006763EC"/>
    <w:rsid w:val="00676BF5"/>
    <w:rsid w:val="00677D9F"/>
    <w:rsid w:val="006801CE"/>
    <w:rsid w:val="0068464C"/>
    <w:rsid w:val="006846DC"/>
    <w:rsid w:val="006867D1"/>
    <w:rsid w:val="00691C6B"/>
    <w:rsid w:val="00692512"/>
    <w:rsid w:val="00692DD9"/>
    <w:rsid w:val="006936DD"/>
    <w:rsid w:val="00693B47"/>
    <w:rsid w:val="00693F08"/>
    <w:rsid w:val="0069487F"/>
    <w:rsid w:val="00695288"/>
    <w:rsid w:val="00695E30"/>
    <w:rsid w:val="006A0AB1"/>
    <w:rsid w:val="006A24E6"/>
    <w:rsid w:val="006A3062"/>
    <w:rsid w:val="006A3D14"/>
    <w:rsid w:val="006A51B4"/>
    <w:rsid w:val="006A6927"/>
    <w:rsid w:val="006B1952"/>
    <w:rsid w:val="006B514E"/>
    <w:rsid w:val="006B56CA"/>
    <w:rsid w:val="006B5D63"/>
    <w:rsid w:val="006B5FCF"/>
    <w:rsid w:val="006B731F"/>
    <w:rsid w:val="006C0522"/>
    <w:rsid w:val="006C0DEB"/>
    <w:rsid w:val="006C10F4"/>
    <w:rsid w:val="006C1528"/>
    <w:rsid w:val="006C21F2"/>
    <w:rsid w:val="006C2B3F"/>
    <w:rsid w:val="006C2BD7"/>
    <w:rsid w:val="006C3DCA"/>
    <w:rsid w:val="006C4616"/>
    <w:rsid w:val="006C4A0B"/>
    <w:rsid w:val="006C7725"/>
    <w:rsid w:val="006C79A2"/>
    <w:rsid w:val="006C7A5F"/>
    <w:rsid w:val="006C7A8E"/>
    <w:rsid w:val="006D2668"/>
    <w:rsid w:val="006D312C"/>
    <w:rsid w:val="006D4230"/>
    <w:rsid w:val="006D56F2"/>
    <w:rsid w:val="006D57C3"/>
    <w:rsid w:val="006D60F8"/>
    <w:rsid w:val="006D699B"/>
    <w:rsid w:val="006D6DB2"/>
    <w:rsid w:val="006E1434"/>
    <w:rsid w:val="006E17E3"/>
    <w:rsid w:val="006E2575"/>
    <w:rsid w:val="006E26E7"/>
    <w:rsid w:val="006E45C7"/>
    <w:rsid w:val="006E68A1"/>
    <w:rsid w:val="006F0CAD"/>
    <w:rsid w:val="006F131C"/>
    <w:rsid w:val="006F143F"/>
    <w:rsid w:val="006F144C"/>
    <w:rsid w:val="006F2830"/>
    <w:rsid w:val="006F291B"/>
    <w:rsid w:val="006F5167"/>
    <w:rsid w:val="006F620B"/>
    <w:rsid w:val="006F7568"/>
    <w:rsid w:val="007010A6"/>
    <w:rsid w:val="007049D3"/>
    <w:rsid w:val="00704ADF"/>
    <w:rsid w:val="00704EA5"/>
    <w:rsid w:val="007051A7"/>
    <w:rsid w:val="007073B3"/>
    <w:rsid w:val="0071163C"/>
    <w:rsid w:val="00711722"/>
    <w:rsid w:val="00713D88"/>
    <w:rsid w:val="00714401"/>
    <w:rsid w:val="00717EB0"/>
    <w:rsid w:val="0072060B"/>
    <w:rsid w:val="007206A0"/>
    <w:rsid w:val="0072250D"/>
    <w:rsid w:val="00723485"/>
    <w:rsid w:val="007236D9"/>
    <w:rsid w:val="007249C4"/>
    <w:rsid w:val="00724BF5"/>
    <w:rsid w:val="00726854"/>
    <w:rsid w:val="00730D36"/>
    <w:rsid w:val="007311CC"/>
    <w:rsid w:val="00732DAC"/>
    <w:rsid w:val="007332CE"/>
    <w:rsid w:val="0073352E"/>
    <w:rsid w:val="00733A89"/>
    <w:rsid w:val="007342E4"/>
    <w:rsid w:val="00734C1F"/>
    <w:rsid w:val="007377EB"/>
    <w:rsid w:val="00737C43"/>
    <w:rsid w:val="00740DCB"/>
    <w:rsid w:val="0074235B"/>
    <w:rsid w:val="00744A82"/>
    <w:rsid w:val="00745466"/>
    <w:rsid w:val="00746814"/>
    <w:rsid w:val="007469D3"/>
    <w:rsid w:val="00746B6C"/>
    <w:rsid w:val="007476E5"/>
    <w:rsid w:val="00747A5D"/>
    <w:rsid w:val="00750207"/>
    <w:rsid w:val="007508F9"/>
    <w:rsid w:val="0075149D"/>
    <w:rsid w:val="00753045"/>
    <w:rsid w:val="00753F70"/>
    <w:rsid w:val="007547CC"/>
    <w:rsid w:val="00755521"/>
    <w:rsid w:val="007556E4"/>
    <w:rsid w:val="0075715E"/>
    <w:rsid w:val="007619F6"/>
    <w:rsid w:val="00762DA6"/>
    <w:rsid w:val="00763E87"/>
    <w:rsid w:val="00763EA0"/>
    <w:rsid w:val="00764096"/>
    <w:rsid w:val="00764A09"/>
    <w:rsid w:val="00764C2B"/>
    <w:rsid w:val="00770934"/>
    <w:rsid w:val="00772F2C"/>
    <w:rsid w:val="00776CEE"/>
    <w:rsid w:val="00777246"/>
    <w:rsid w:val="00777ECC"/>
    <w:rsid w:val="00780189"/>
    <w:rsid w:val="00781850"/>
    <w:rsid w:val="00781AC7"/>
    <w:rsid w:val="007879D7"/>
    <w:rsid w:val="0079124F"/>
    <w:rsid w:val="007924D1"/>
    <w:rsid w:val="007932EE"/>
    <w:rsid w:val="00793A1B"/>
    <w:rsid w:val="00793D14"/>
    <w:rsid w:val="00794851"/>
    <w:rsid w:val="00794D84"/>
    <w:rsid w:val="00795FE2"/>
    <w:rsid w:val="007965E4"/>
    <w:rsid w:val="0079676D"/>
    <w:rsid w:val="007A1911"/>
    <w:rsid w:val="007A2218"/>
    <w:rsid w:val="007A3326"/>
    <w:rsid w:val="007A3B83"/>
    <w:rsid w:val="007A54D3"/>
    <w:rsid w:val="007A5D31"/>
    <w:rsid w:val="007A6421"/>
    <w:rsid w:val="007B08C8"/>
    <w:rsid w:val="007B116D"/>
    <w:rsid w:val="007B1E5F"/>
    <w:rsid w:val="007B3FC7"/>
    <w:rsid w:val="007B44A4"/>
    <w:rsid w:val="007B5016"/>
    <w:rsid w:val="007B5866"/>
    <w:rsid w:val="007B59C5"/>
    <w:rsid w:val="007B5EA4"/>
    <w:rsid w:val="007B7125"/>
    <w:rsid w:val="007C083C"/>
    <w:rsid w:val="007C2B8D"/>
    <w:rsid w:val="007C4617"/>
    <w:rsid w:val="007C4DFA"/>
    <w:rsid w:val="007C69F3"/>
    <w:rsid w:val="007C6B31"/>
    <w:rsid w:val="007D0CD3"/>
    <w:rsid w:val="007D1B5C"/>
    <w:rsid w:val="007D39E3"/>
    <w:rsid w:val="007D4C98"/>
    <w:rsid w:val="007D609B"/>
    <w:rsid w:val="007E0D48"/>
    <w:rsid w:val="007E32E1"/>
    <w:rsid w:val="007E61BC"/>
    <w:rsid w:val="007E700A"/>
    <w:rsid w:val="007E70E2"/>
    <w:rsid w:val="007F0906"/>
    <w:rsid w:val="007F1036"/>
    <w:rsid w:val="007F19C6"/>
    <w:rsid w:val="007F1AE6"/>
    <w:rsid w:val="007F33EF"/>
    <w:rsid w:val="007F4B3D"/>
    <w:rsid w:val="007F585D"/>
    <w:rsid w:val="007F695A"/>
    <w:rsid w:val="007F6E34"/>
    <w:rsid w:val="007F6EF2"/>
    <w:rsid w:val="007F7B9C"/>
    <w:rsid w:val="0080126A"/>
    <w:rsid w:val="00801867"/>
    <w:rsid w:val="00801B3D"/>
    <w:rsid w:val="00805F62"/>
    <w:rsid w:val="00806C3B"/>
    <w:rsid w:val="008114EB"/>
    <w:rsid w:val="008119C8"/>
    <w:rsid w:val="00811CD9"/>
    <w:rsid w:val="00813823"/>
    <w:rsid w:val="0081416C"/>
    <w:rsid w:val="00815204"/>
    <w:rsid w:val="0081771A"/>
    <w:rsid w:val="00817787"/>
    <w:rsid w:val="0082031E"/>
    <w:rsid w:val="00820629"/>
    <w:rsid w:val="008209E0"/>
    <w:rsid w:val="0082293F"/>
    <w:rsid w:val="00824987"/>
    <w:rsid w:val="0082608F"/>
    <w:rsid w:val="00826F7A"/>
    <w:rsid w:val="00827135"/>
    <w:rsid w:val="00831136"/>
    <w:rsid w:val="008325CD"/>
    <w:rsid w:val="0083307E"/>
    <w:rsid w:val="00834D77"/>
    <w:rsid w:val="00841A36"/>
    <w:rsid w:val="00841CCD"/>
    <w:rsid w:val="0084258F"/>
    <w:rsid w:val="00847006"/>
    <w:rsid w:val="00847C7F"/>
    <w:rsid w:val="008530AE"/>
    <w:rsid w:val="008544A4"/>
    <w:rsid w:val="00857655"/>
    <w:rsid w:val="008611D3"/>
    <w:rsid w:val="00861457"/>
    <w:rsid w:val="0086195B"/>
    <w:rsid w:val="00861D4C"/>
    <w:rsid w:val="00861DF8"/>
    <w:rsid w:val="00862FB3"/>
    <w:rsid w:val="00863C50"/>
    <w:rsid w:val="008664CD"/>
    <w:rsid w:val="0087169F"/>
    <w:rsid w:val="008756A9"/>
    <w:rsid w:val="00875DA0"/>
    <w:rsid w:val="008774F3"/>
    <w:rsid w:val="00881B04"/>
    <w:rsid w:val="008824EE"/>
    <w:rsid w:val="00883CCE"/>
    <w:rsid w:val="00883F71"/>
    <w:rsid w:val="0088614F"/>
    <w:rsid w:val="0089001F"/>
    <w:rsid w:val="00890803"/>
    <w:rsid w:val="00891595"/>
    <w:rsid w:val="00892137"/>
    <w:rsid w:val="00892779"/>
    <w:rsid w:val="00893656"/>
    <w:rsid w:val="00893B6E"/>
    <w:rsid w:val="008970C6"/>
    <w:rsid w:val="0089724E"/>
    <w:rsid w:val="008A1187"/>
    <w:rsid w:val="008A13FB"/>
    <w:rsid w:val="008A152D"/>
    <w:rsid w:val="008A1AEB"/>
    <w:rsid w:val="008A1DEA"/>
    <w:rsid w:val="008A36C3"/>
    <w:rsid w:val="008A6A27"/>
    <w:rsid w:val="008B092C"/>
    <w:rsid w:val="008B1A2F"/>
    <w:rsid w:val="008B298F"/>
    <w:rsid w:val="008B38B5"/>
    <w:rsid w:val="008B38D1"/>
    <w:rsid w:val="008B49C3"/>
    <w:rsid w:val="008B55A1"/>
    <w:rsid w:val="008B6056"/>
    <w:rsid w:val="008B6DEF"/>
    <w:rsid w:val="008B7946"/>
    <w:rsid w:val="008B7BC1"/>
    <w:rsid w:val="008B7D21"/>
    <w:rsid w:val="008C0A80"/>
    <w:rsid w:val="008C0A86"/>
    <w:rsid w:val="008C1209"/>
    <w:rsid w:val="008C1E5E"/>
    <w:rsid w:val="008C22EC"/>
    <w:rsid w:val="008C345A"/>
    <w:rsid w:val="008C361F"/>
    <w:rsid w:val="008C5597"/>
    <w:rsid w:val="008C5879"/>
    <w:rsid w:val="008C643F"/>
    <w:rsid w:val="008C67D1"/>
    <w:rsid w:val="008C6E18"/>
    <w:rsid w:val="008C78AD"/>
    <w:rsid w:val="008D0320"/>
    <w:rsid w:val="008D0DC1"/>
    <w:rsid w:val="008D1A3A"/>
    <w:rsid w:val="008D27E5"/>
    <w:rsid w:val="008D28EB"/>
    <w:rsid w:val="008D4001"/>
    <w:rsid w:val="008D6D01"/>
    <w:rsid w:val="008D6DDB"/>
    <w:rsid w:val="008E1973"/>
    <w:rsid w:val="008E2B86"/>
    <w:rsid w:val="008E35AA"/>
    <w:rsid w:val="008E37DE"/>
    <w:rsid w:val="008E6D21"/>
    <w:rsid w:val="008F027B"/>
    <w:rsid w:val="008F0FEF"/>
    <w:rsid w:val="008F12FE"/>
    <w:rsid w:val="008F26A0"/>
    <w:rsid w:val="008F2AD7"/>
    <w:rsid w:val="008F2CB2"/>
    <w:rsid w:val="008F33B9"/>
    <w:rsid w:val="008F3777"/>
    <w:rsid w:val="008F4EFA"/>
    <w:rsid w:val="008F6BEC"/>
    <w:rsid w:val="008F7064"/>
    <w:rsid w:val="008F7613"/>
    <w:rsid w:val="00900C49"/>
    <w:rsid w:val="00900D3E"/>
    <w:rsid w:val="00902276"/>
    <w:rsid w:val="00902FB4"/>
    <w:rsid w:val="009047E6"/>
    <w:rsid w:val="0090685D"/>
    <w:rsid w:val="00906F55"/>
    <w:rsid w:val="00907FB0"/>
    <w:rsid w:val="009100F4"/>
    <w:rsid w:val="00914837"/>
    <w:rsid w:val="009161A9"/>
    <w:rsid w:val="00916C72"/>
    <w:rsid w:val="00920481"/>
    <w:rsid w:val="00922CA6"/>
    <w:rsid w:val="00922D0F"/>
    <w:rsid w:val="00923E94"/>
    <w:rsid w:val="009240B6"/>
    <w:rsid w:val="0092473E"/>
    <w:rsid w:val="00925395"/>
    <w:rsid w:val="00925BC5"/>
    <w:rsid w:val="009260F2"/>
    <w:rsid w:val="009308F5"/>
    <w:rsid w:val="00930B71"/>
    <w:rsid w:val="00930C59"/>
    <w:rsid w:val="009353BE"/>
    <w:rsid w:val="00935F52"/>
    <w:rsid w:val="00942025"/>
    <w:rsid w:val="009442C9"/>
    <w:rsid w:val="00944304"/>
    <w:rsid w:val="0094748D"/>
    <w:rsid w:val="00947F8F"/>
    <w:rsid w:val="00950B47"/>
    <w:rsid w:val="00950E7C"/>
    <w:rsid w:val="00951E9A"/>
    <w:rsid w:val="009565AD"/>
    <w:rsid w:val="00957F3C"/>
    <w:rsid w:val="0096079D"/>
    <w:rsid w:val="00960ED3"/>
    <w:rsid w:val="0096148E"/>
    <w:rsid w:val="00961D47"/>
    <w:rsid w:val="009627D4"/>
    <w:rsid w:val="009629B0"/>
    <w:rsid w:val="00962BD2"/>
    <w:rsid w:val="00962D0F"/>
    <w:rsid w:val="0096351A"/>
    <w:rsid w:val="009636ED"/>
    <w:rsid w:val="0096442F"/>
    <w:rsid w:val="00965BF2"/>
    <w:rsid w:val="009707A0"/>
    <w:rsid w:val="00972854"/>
    <w:rsid w:val="00972DA1"/>
    <w:rsid w:val="0098072E"/>
    <w:rsid w:val="00981C59"/>
    <w:rsid w:val="00982D29"/>
    <w:rsid w:val="00984037"/>
    <w:rsid w:val="00985D40"/>
    <w:rsid w:val="009864DC"/>
    <w:rsid w:val="0098754C"/>
    <w:rsid w:val="009920B4"/>
    <w:rsid w:val="00993675"/>
    <w:rsid w:val="009946EB"/>
    <w:rsid w:val="009949F5"/>
    <w:rsid w:val="00994D68"/>
    <w:rsid w:val="00996F94"/>
    <w:rsid w:val="00997C6E"/>
    <w:rsid w:val="00997F12"/>
    <w:rsid w:val="009A01EA"/>
    <w:rsid w:val="009A0F4F"/>
    <w:rsid w:val="009A156C"/>
    <w:rsid w:val="009A1684"/>
    <w:rsid w:val="009A223E"/>
    <w:rsid w:val="009A4770"/>
    <w:rsid w:val="009A54E8"/>
    <w:rsid w:val="009B0452"/>
    <w:rsid w:val="009B0A67"/>
    <w:rsid w:val="009B1CF6"/>
    <w:rsid w:val="009B5883"/>
    <w:rsid w:val="009C1CFC"/>
    <w:rsid w:val="009C2355"/>
    <w:rsid w:val="009C352A"/>
    <w:rsid w:val="009C39C6"/>
    <w:rsid w:val="009C4E6B"/>
    <w:rsid w:val="009C54CB"/>
    <w:rsid w:val="009D2478"/>
    <w:rsid w:val="009D384F"/>
    <w:rsid w:val="009D3B72"/>
    <w:rsid w:val="009D49D2"/>
    <w:rsid w:val="009D4D5A"/>
    <w:rsid w:val="009D7EF3"/>
    <w:rsid w:val="009E0C0C"/>
    <w:rsid w:val="009E1542"/>
    <w:rsid w:val="009E3AE7"/>
    <w:rsid w:val="009E5283"/>
    <w:rsid w:val="009E6D18"/>
    <w:rsid w:val="009E7100"/>
    <w:rsid w:val="009E7450"/>
    <w:rsid w:val="009F0EBB"/>
    <w:rsid w:val="009F1025"/>
    <w:rsid w:val="009F16AD"/>
    <w:rsid w:val="009F284C"/>
    <w:rsid w:val="009F336E"/>
    <w:rsid w:val="009F7965"/>
    <w:rsid w:val="009F7A9F"/>
    <w:rsid w:val="00A01615"/>
    <w:rsid w:val="00A01AFD"/>
    <w:rsid w:val="00A01F85"/>
    <w:rsid w:val="00A03A61"/>
    <w:rsid w:val="00A107D5"/>
    <w:rsid w:val="00A11BC9"/>
    <w:rsid w:val="00A120A3"/>
    <w:rsid w:val="00A12DC7"/>
    <w:rsid w:val="00A138B2"/>
    <w:rsid w:val="00A13972"/>
    <w:rsid w:val="00A13C15"/>
    <w:rsid w:val="00A14E0D"/>
    <w:rsid w:val="00A15B8D"/>
    <w:rsid w:val="00A21B08"/>
    <w:rsid w:val="00A230CF"/>
    <w:rsid w:val="00A233AC"/>
    <w:rsid w:val="00A23588"/>
    <w:rsid w:val="00A23AC8"/>
    <w:rsid w:val="00A246D8"/>
    <w:rsid w:val="00A250F8"/>
    <w:rsid w:val="00A2653A"/>
    <w:rsid w:val="00A277E0"/>
    <w:rsid w:val="00A30951"/>
    <w:rsid w:val="00A32718"/>
    <w:rsid w:val="00A334E5"/>
    <w:rsid w:val="00A3468A"/>
    <w:rsid w:val="00A37B7B"/>
    <w:rsid w:val="00A41194"/>
    <w:rsid w:val="00A414A1"/>
    <w:rsid w:val="00A41A0D"/>
    <w:rsid w:val="00A4374D"/>
    <w:rsid w:val="00A447F2"/>
    <w:rsid w:val="00A45975"/>
    <w:rsid w:val="00A46805"/>
    <w:rsid w:val="00A54743"/>
    <w:rsid w:val="00A54F83"/>
    <w:rsid w:val="00A57373"/>
    <w:rsid w:val="00A610A0"/>
    <w:rsid w:val="00A61B48"/>
    <w:rsid w:val="00A6229D"/>
    <w:rsid w:val="00A62F14"/>
    <w:rsid w:val="00A65196"/>
    <w:rsid w:val="00A6709E"/>
    <w:rsid w:val="00A67595"/>
    <w:rsid w:val="00A678C9"/>
    <w:rsid w:val="00A73B46"/>
    <w:rsid w:val="00A74E30"/>
    <w:rsid w:val="00A80097"/>
    <w:rsid w:val="00A80C47"/>
    <w:rsid w:val="00A810F8"/>
    <w:rsid w:val="00A81130"/>
    <w:rsid w:val="00A81D6A"/>
    <w:rsid w:val="00A83C1F"/>
    <w:rsid w:val="00A83FD7"/>
    <w:rsid w:val="00A840CC"/>
    <w:rsid w:val="00A840F9"/>
    <w:rsid w:val="00A84EBE"/>
    <w:rsid w:val="00A852DA"/>
    <w:rsid w:val="00A86C7C"/>
    <w:rsid w:val="00A875A5"/>
    <w:rsid w:val="00A87869"/>
    <w:rsid w:val="00A87B6D"/>
    <w:rsid w:val="00A90B0A"/>
    <w:rsid w:val="00A9147E"/>
    <w:rsid w:val="00A937E6"/>
    <w:rsid w:val="00A9461E"/>
    <w:rsid w:val="00A9783B"/>
    <w:rsid w:val="00AA01C1"/>
    <w:rsid w:val="00AA1017"/>
    <w:rsid w:val="00AA23F4"/>
    <w:rsid w:val="00AA403B"/>
    <w:rsid w:val="00AA43B4"/>
    <w:rsid w:val="00AA4C23"/>
    <w:rsid w:val="00AA66CE"/>
    <w:rsid w:val="00AA7970"/>
    <w:rsid w:val="00AB136E"/>
    <w:rsid w:val="00AB1E3D"/>
    <w:rsid w:val="00AB206F"/>
    <w:rsid w:val="00AB4956"/>
    <w:rsid w:val="00AB5168"/>
    <w:rsid w:val="00AB6822"/>
    <w:rsid w:val="00AC02F5"/>
    <w:rsid w:val="00AC052D"/>
    <w:rsid w:val="00AC0D20"/>
    <w:rsid w:val="00AC2640"/>
    <w:rsid w:val="00AC4409"/>
    <w:rsid w:val="00AC6717"/>
    <w:rsid w:val="00AC798F"/>
    <w:rsid w:val="00AD2AC5"/>
    <w:rsid w:val="00AD3550"/>
    <w:rsid w:val="00AE104F"/>
    <w:rsid w:val="00AE1277"/>
    <w:rsid w:val="00AE1A91"/>
    <w:rsid w:val="00AE1C03"/>
    <w:rsid w:val="00AE31B9"/>
    <w:rsid w:val="00AE42A8"/>
    <w:rsid w:val="00AE4873"/>
    <w:rsid w:val="00AE5563"/>
    <w:rsid w:val="00AF1353"/>
    <w:rsid w:val="00AF2ECE"/>
    <w:rsid w:val="00AF3540"/>
    <w:rsid w:val="00AF3B28"/>
    <w:rsid w:val="00AF53CD"/>
    <w:rsid w:val="00AF746D"/>
    <w:rsid w:val="00B01363"/>
    <w:rsid w:val="00B0288E"/>
    <w:rsid w:val="00B02BB1"/>
    <w:rsid w:val="00B040BF"/>
    <w:rsid w:val="00B04990"/>
    <w:rsid w:val="00B04B1C"/>
    <w:rsid w:val="00B0509C"/>
    <w:rsid w:val="00B06E32"/>
    <w:rsid w:val="00B0742E"/>
    <w:rsid w:val="00B0788F"/>
    <w:rsid w:val="00B07D22"/>
    <w:rsid w:val="00B10D84"/>
    <w:rsid w:val="00B11D57"/>
    <w:rsid w:val="00B13A50"/>
    <w:rsid w:val="00B14ACB"/>
    <w:rsid w:val="00B17310"/>
    <w:rsid w:val="00B17861"/>
    <w:rsid w:val="00B212C8"/>
    <w:rsid w:val="00B22642"/>
    <w:rsid w:val="00B23807"/>
    <w:rsid w:val="00B2548D"/>
    <w:rsid w:val="00B3036B"/>
    <w:rsid w:val="00B30423"/>
    <w:rsid w:val="00B30D4B"/>
    <w:rsid w:val="00B311E7"/>
    <w:rsid w:val="00B32202"/>
    <w:rsid w:val="00B35521"/>
    <w:rsid w:val="00B368BA"/>
    <w:rsid w:val="00B3772B"/>
    <w:rsid w:val="00B40741"/>
    <w:rsid w:val="00B40990"/>
    <w:rsid w:val="00B40E09"/>
    <w:rsid w:val="00B452F3"/>
    <w:rsid w:val="00B52D4F"/>
    <w:rsid w:val="00B5374E"/>
    <w:rsid w:val="00B54905"/>
    <w:rsid w:val="00B557A7"/>
    <w:rsid w:val="00B56755"/>
    <w:rsid w:val="00B56AF6"/>
    <w:rsid w:val="00B56D1B"/>
    <w:rsid w:val="00B6189C"/>
    <w:rsid w:val="00B61F0A"/>
    <w:rsid w:val="00B624F4"/>
    <w:rsid w:val="00B62EE8"/>
    <w:rsid w:val="00B64312"/>
    <w:rsid w:val="00B64BB7"/>
    <w:rsid w:val="00B6567F"/>
    <w:rsid w:val="00B65FC9"/>
    <w:rsid w:val="00B66A8A"/>
    <w:rsid w:val="00B67045"/>
    <w:rsid w:val="00B745C3"/>
    <w:rsid w:val="00B74EBE"/>
    <w:rsid w:val="00B817D2"/>
    <w:rsid w:val="00B81DCA"/>
    <w:rsid w:val="00B82DE9"/>
    <w:rsid w:val="00B83977"/>
    <w:rsid w:val="00B842D8"/>
    <w:rsid w:val="00B86081"/>
    <w:rsid w:val="00B86837"/>
    <w:rsid w:val="00B90C75"/>
    <w:rsid w:val="00B91862"/>
    <w:rsid w:val="00B91F60"/>
    <w:rsid w:val="00B93E10"/>
    <w:rsid w:val="00B946C4"/>
    <w:rsid w:val="00B96E2D"/>
    <w:rsid w:val="00B97E4D"/>
    <w:rsid w:val="00BA0D8F"/>
    <w:rsid w:val="00BA1AFE"/>
    <w:rsid w:val="00BA2801"/>
    <w:rsid w:val="00BA34F3"/>
    <w:rsid w:val="00BA4C39"/>
    <w:rsid w:val="00BA4CD9"/>
    <w:rsid w:val="00BA5A29"/>
    <w:rsid w:val="00BB4355"/>
    <w:rsid w:val="00BB47D9"/>
    <w:rsid w:val="00BB55D1"/>
    <w:rsid w:val="00BB7527"/>
    <w:rsid w:val="00BC0779"/>
    <w:rsid w:val="00BC1C5C"/>
    <w:rsid w:val="00BC24D1"/>
    <w:rsid w:val="00BC32CF"/>
    <w:rsid w:val="00BC3B91"/>
    <w:rsid w:val="00BC3C3E"/>
    <w:rsid w:val="00BC4F1E"/>
    <w:rsid w:val="00BC6589"/>
    <w:rsid w:val="00BD58B5"/>
    <w:rsid w:val="00BD5C34"/>
    <w:rsid w:val="00BD5D01"/>
    <w:rsid w:val="00BD61E6"/>
    <w:rsid w:val="00BD6A7E"/>
    <w:rsid w:val="00BD71B0"/>
    <w:rsid w:val="00BD7936"/>
    <w:rsid w:val="00BE256A"/>
    <w:rsid w:val="00BE41FA"/>
    <w:rsid w:val="00BE4D8D"/>
    <w:rsid w:val="00BE6E55"/>
    <w:rsid w:val="00BF0BF2"/>
    <w:rsid w:val="00BF0D72"/>
    <w:rsid w:val="00BF417E"/>
    <w:rsid w:val="00BF4ADE"/>
    <w:rsid w:val="00BF7133"/>
    <w:rsid w:val="00C00462"/>
    <w:rsid w:val="00C00E69"/>
    <w:rsid w:val="00C01A9E"/>
    <w:rsid w:val="00C0443D"/>
    <w:rsid w:val="00C05278"/>
    <w:rsid w:val="00C056DE"/>
    <w:rsid w:val="00C05895"/>
    <w:rsid w:val="00C06356"/>
    <w:rsid w:val="00C069DA"/>
    <w:rsid w:val="00C07881"/>
    <w:rsid w:val="00C10D7D"/>
    <w:rsid w:val="00C10F99"/>
    <w:rsid w:val="00C15E0C"/>
    <w:rsid w:val="00C166D3"/>
    <w:rsid w:val="00C16827"/>
    <w:rsid w:val="00C170F6"/>
    <w:rsid w:val="00C203C2"/>
    <w:rsid w:val="00C228DF"/>
    <w:rsid w:val="00C22DB4"/>
    <w:rsid w:val="00C24409"/>
    <w:rsid w:val="00C27992"/>
    <w:rsid w:val="00C3336B"/>
    <w:rsid w:val="00C33AD3"/>
    <w:rsid w:val="00C33C79"/>
    <w:rsid w:val="00C34C9E"/>
    <w:rsid w:val="00C34F0B"/>
    <w:rsid w:val="00C353BB"/>
    <w:rsid w:val="00C35745"/>
    <w:rsid w:val="00C37376"/>
    <w:rsid w:val="00C37716"/>
    <w:rsid w:val="00C40703"/>
    <w:rsid w:val="00C41F7F"/>
    <w:rsid w:val="00C42ADE"/>
    <w:rsid w:val="00C442E5"/>
    <w:rsid w:val="00C44DB1"/>
    <w:rsid w:val="00C45D54"/>
    <w:rsid w:val="00C47C35"/>
    <w:rsid w:val="00C50D47"/>
    <w:rsid w:val="00C51A93"/>
    <w:rsid w:val="00C56BD5"/>
    <w:rsid w:val="00C56E33"/>
    <w:rsid w:val="00C571F8"/>
    <w:rsid w:val="00C6003F"/>
    <w:rsid w:val="00C60DD2"/>
    <w:rsid w:val="00C630EA"/>
    <w:rsid w:val="00C64AD4"/>
    <w:rsid w:val="00C65F15"/>
    <w:rsid w:val="00C66A76"/>
    <w:rsid w:val="00C66DF5"/>
    <w:rsid w:val="00C671A0"/>
    <w:rsid w:val="00C67B11"/>
    <w:rsid w:val="00C67FB9"/>
    <w:rsid w:val="00C736F6"/>
    <w:rsid w:val="00C74434"/>
    <w:rsid w:val="00C74C8C"/>
    <w:rsid w:val="00C75E42"/>
    <w:rsid w:val="00C7630B"/>
    <w:rsid w:val="00C77F94"/>
    <w:rsid w:val="00C83AA7"/>
    <w:rsid w:val="00C90D75"/>
    <w:rsid w:val="00C914C4"/>
    <w:rsid w:val="00C91F05"/>
    <w:rsid w:val="00C92BC2"/>
    <w:rsid w:val="00C93723"/>
    <w:rsid w:val="00C964D4"/>
    <w:rsid w:val="00C96A26"/>
    <w:rsid w:val="00C97A0A"/>
    <w:rsid w:val="00C97A80"/>
    <w:rsid w:val="00CA1E0B"/>
    <w:rsid w:val="00CA258F"/>
    <w:rsid w:val="00CA3959"/>
    <w:rsid w:val="00CA4FAC"/>
    <w:rsid w:val="00CA6C0E"/>
    <w:rsid w:val="00CB1B16"/>
    <w:rsid w:val="00CB26CA"/>
    <w:rsid w:val="00CB2F2A"/>
    <w:rsid w:val="00CB3D5A"/>
    <w:rsid w:val="00CB4966"/>
    <w:rsid w:val="00CB6476"/>
    <w:rsid w:val="00CB767B"/>
    <w:rsid w:val="00CB7811"/>
    <w:rsid w:val="00CC0FDC"/>
    <w:rsid w:val="00CC161B"/>
    <w:rsid w:val="00CC1E58"/>
    <w:rsid w:val="00CC2882"/>
    <w:rsid w:val="00CC3A69"/>
    <w:rsid w:val="00CC3B79"/>
    <w:rsid w:val="00CC7BD3"/>
    <w:rsid w:val="00CC7D4B"/>
    <w:rsid w:val="00CD0F29"/>
    <w:rsid w:val="00CD159B"/>
    <w:rsid w:val="00CD2C42"/>
    <w:rsid w:val="00CD34B5"/>
    <w:rsid w:val="00CD36D1"/>
    <w:rsid w:val="00CD64F6"/>
    <w:rsid w:val="00CD7181"/>
    <w:rsid w:val="00CE1C6F"/>
    <w:rsid w:val="00CE3C44"/>
    <w:rsid w:val="00CE413A"/>
    <w:rsid w:val="00CE59A2"/>
    <w:rsid w:val="00CE5BEE"/>
    <w:rsid w:val="00CE6667"/>
    <w:rsid w:val="00CE6A6D"/>
    <w:rsid w:val="00CE7539"/>
    <w:rsid w:val="00CF0471"/>
    <w:rsid w:val="00CF0D0A"/>
    <w:rsid w:val="00CF1356"/>
    <w:rsid w:val="00CF151E"/>
    <w:rsid w:val="00CF4774"/>
    <w:rsid w:val="00CF5484"/>
    <w:rsid w:val="00CF5563"/>
    <w:rsid w:val="00CF6AAF"/>
    <w:rsid w:val="00CF7140"/>
    <w:rsid w:val="00CF7B80"/>
    <w:rsid w:val="00D00542"/>
    <w:rsid w:val="00D02EAD"/>
    <w:rsid w:val="00D046D2"/>
    <w:rsid w:val="00D05988"/>
    <w:rsid w:val="00D07E27"/>
    <w:rsid w:val="00D172B5"/>
    <w:rsid w:val="00D223BD"/>
    <w:rsid w:val="00D24B31"/>
    <w:rsid w:val="00D27310"/>
    <w:rsid w:val="00D27A5D"/>
    <w:rsid w:val="00D32453"/>
    <w:rsid w:val="00D3246E"/>
    <w:rsid w:val="00D3293D"/>
    <w:rsid w:val="00D32D96"/>
    <w:rsid w:val="00D33A9C"/>
    <w:rsid w:val="00D34754"/>
    <w:rsid w:val="00D360AB"/>
    <w:rsid w:val="00D407F5"/>
    <w:rsid w:val="00D408EC"/>
    <w:rsid w:val="00D42974"/>
    <w:rsid w:val="00D43F97"/>
    <w:rsid w:val="00D4533B"/>
    <w:rsid w:val="00D471CC"/>
    <w:rsid w:val="00D473D3"/>
    <w:rsid w:val="00D5096F"/>
    <w:rsid w:val="00D51F8D"/>
    <w:rsid w:val="00D52301"/>
    <w:rsid w:val="00D54113"/>
    <w:rsid w:val="00D543FA"/>
    <w:rsid w:val="00D55DF7"/>
    <w:rsid w:val="00D56A8B"/>
    <w:rsid w:val="00D57FF5"/>
    <w:rsid w:val="00D620B1"/>
    <w:rsid w:val="00D64BBA"/>
    <w:rsid w:val="00D67E65"/>
    <w:rsid w:val="00D70A20"/>
    <w:rsid w:val="00D70AEE"/>
    <w:rsid w:val="00D70E58"/>
    <w:rsid w:val="00D73F29"/>
    <w:rsid w:val="00D750CD"/>
    <w:rsid w:val="00D75705"/>
    <w:rsid w:val="00D806CC"/>
    <w:rsid w:val="00D81266"/>
    <w:rsid w:val="00D8438A"/>
    <w:rsid w:val="00D878D6"/>
    <w:rsid w:val="00D909F5"/>
    <w:rsid w:val="00D91BB8"/>
    <w:rsid w:val="00D93A67"/>
    <w:rsid w:val="00D94EBD"/>
    <w:rsid w:val="00D954E1"/>
    <w:rsid w:val="00D95881"/>
    <w:rsid w:val="00D96CF1"/>
    <w:rsid w:val="00DA2269"/>
    <w:rsid w:val="00DA25C8"/>
    <w:rsid w:val="00DA4489"/>
    <w:rsid w:val="00DA55E0"/>
    <w:rsid w:val="00DA6975"/>
    <w:rsid w:val="00DA7E0A"/>
    <w:rsid w:val="00DB0355"/>
    <w:rsid w:val="00DB48B1"/>
    <w:rsid w:val="00DB60D6"/>
    <w:rsid w:val="00DB638F"/>
    <w:rsid w:val="00DB7522"/>
    <w:rsid w:val="00DC0C01"/>
    <w:rsid w:val="00DC0CF4"/>
    <w:rsid w:val="00DC1555"/>
    <w:rsid w:val="00DC18BC"/>
    <w:rsid w:val="00DC28E3"/>
    <w:rsid w:val="00DC4688"/>
    <w:rsid w:val="00DC4761"/>
    <w:rsid w:val="00DC4AD0"/>
    <w:rsid w:val="00DC4E57"/>
    <w:rsid w:val="00DC60C2"/>
    <w:rsid w:val="00DC6507"/>
    <w:rsid w:val="00DC6842"/>
    <w:rsid w:val="00DC6B55"/>
    <w:rsid w:val="00DC6C16"/>
    <w:rsid w:val="00DD0D35"/>
    <w:rsid w:val="00DD1AE7"/>
    <w:rsid w:val="00DD25A7"/>
    <w:rsid w:val="00DD2BEC"/>
    <w:rsid w:val="00DE0640"/>
    <w:rsid w:val="00DE1BB0"/>
    <w:rsid w:val="00DE2306"/>
    <w:rsid w:val="00DF1C45"/>
    <w:rsid w:val="00DF2467"/>
    <w:rsid w:val="00DF3CD4"/>
    <w:rsid w:val="00DF4D4B"/>
    <w:rsid w:val="00DF50D9"/>
    <w:rsid w:val="00DF6407"/>
    <w:rsid w:val="00E005C4"/>
    <w:rsid w:val="00E00924"/>
    <w:rsid w:val="00E00B82"/>
    <w:rsid w:val="00E00FEA"/>
    <w:rsid w:val="00E01F61"/>
    <w:rsid w:val="00E15744"/>
    <w:rsid w:val="00E1755D"/>
    <w:rsid w:val="00E2494B"/>
    <w:rsid w:val="00E31483"/>
    <w:rsid w:val="00E31BED"/>
    <w:rsid w:val="00E32801"/>
    <w:rsid w:val="00E34DB0"/>
    <w:rsid w:val="00E35F9D"/>
    <w:rsid w:val="00E36C33"/>
    <w:rsid w:val="00E409F7"/>
    <w:rsid w:val="00E40B6E"/>
    <w:rsid w:val="00E41759"/>
    <w:rsid w:val="00E41AEB"/>
    <w:rsid w:val="00E424C9"/>
    <w:rsid w:val="00E43C67"/>
    <w:rsid w:val="00E43E45"/>
    <w:rsid w:val="00E44441"/>
    <w:rsid w:val="00E457A3"/>
    <w:rsid w:val="00E50DCC"/>
    <w:rsid w:val="00E52FC7"/>
    <w:rsid w:val="00E562E8"/>
    <w:rsid w:val="00E56CB5"/>
    <w:rsid w:val="00E6039F"/>
    <w:rsid w:val="00E61477"/>
    <w:rsid w:val="00E61EFB"/>
    <w:rsid w:val="00E64AB9"/>
    <w:rsid w:val="00E65359"/>
    <w:rsid w:val="00E656C0"/>
    <w:rsid w:val="00E66B4D"/>
    <w:rsid w:val="00E66F1F"/>
    <w:rsid w:val="00E719F4"/>
    <w:rsid w:val="00E73CEA"/>
    <w:rsid w:val="00E767E3"/>
    <w:rsid w:val="00E77665"/>
    <w:rsid w:val="00E779E5"/>
    <w:rsid w:val="00E80E6C"/>
    <w:rsid w:val="00E82C1B"/>
    <w:rsid w:val="00E83225"/>
    <w:rsid w:val="00E85D03"/>
    <w:rsid w:val="00E868B9"/>
    <w:rsid w:val="00E8705A"/>
    <w:rsid w:val="00E87D6E"/>
    <w:rsid w:val="00E90AC0"/>
    <w:rsid w:val="00E917A1"/>
    <w:rsid w:val="00E954A0"/>
    <w:rsid w:val="00E95BDF"/>
    <w:rsid w:val="00EA14A9"/>
    <w:rsid w:val="00EA25C5"/>
    <w:rsid w:val="00EA42B1"/>
    <w:rsid w:val="00EA4ED5"/>
    <w:rsid w:val="00EA5C05"/>
    <w:rsid w:val="00EA6515"/>
    <w:rsid w:val="00EB02CE"/>
    <w:rsid w:val="00EB0A39"/>
    <w:rsid w:val="00EB1072"/>
    <w:rsid w:val="00EB2842"/>
    <w:rsid w:val="00EB42A1"/>
    <w:rsid w:val="00EB681C"/>
    <w:rsid w:val="00EC077E"/>
    <w:rsid w:val="00EC2C03"/>
    <w:rsid w:val="00EC35AB"/>
    <w:rsid w:val="00EC4553"/>
    <w:rsid w:val="00EC5885"/>
    <w:rsid w:val="00EC58AD"/>
    <w:rsid w:val="00EC61B0"/>
    <w:rsid w:val="00EC63B5"/>
    <w:rsid w:val="00EC7981"/>
    <w:rsid w:val="00ED0803"/>
    <w:rsid w:val="00ED3AB0"/>
    <w:rsid w:val="00ED5369"/>
    <w:rsid w:val="00ED65FC"/>
    <w:rsid w:val="00ED661F"/>
    <w:rsid w:val="00ED7BFD"/>
    <w:rsid w:val="00EE12A7"/>
    <w:rsid w:val="00EE1BE7"/>
    <w:rsid w:val="00EE445D"/>
    <w:rsid w:val="00EE5A49"/>
    <w:rsid w:val="00EE744F"/>
    <w:rsid w:val="00EF07F8"/>
    <w:rsid w:val="00EF1064"/>
    <w:rsid w:val="00EF1219"/>
    <w:rsid w:val="00EF1323"/>
    <w:rsid w:val="00EF3AEE"/>
    <w:rsid w:val="00EF411A"/>
    <w:rsid w:val="00EF510E"/>
    <w:rsid w:val="00EF6290"/>
    <w:rsid w:val="00EF7853"/>
    <w:rsid w:val="00F001BA"/>
    <w:rsid w:val="00F02BC2"/>
    <w:rsid w:val="00F035D3"/>
    <w:rsid w:val="00F037D3"/>
    <w:rsid w:val="00F03D9D"/>
    <w:rsid w:val="00F047D3"/>
    <w:rsid w:val="00F04C7C"/>
    <w:rsid w:val="00F0649C"/>
    <w:rsid w:val="00F072D3"/>
    <w:rsid w:val="00F10AB0"/>
    <w:rsid w:val="00F119AC"/>
    <w:rsid w:val="00F138C2"/>
    <w:rsid w:val="00F1390E"/>
    <w:rsid w:val="00F13C33"/>
    <w:rsid w:val="00F17A1E"/>
    <w:rsid w:val="00F23814"/>
    <w:rsid w:val="00F24200"/>
    <w:rsid w:val="00F2669A"/>
    <w:rsid w:val="00F303C2"/>
    <w:rsid w:val="00F327A0"/>
    <w:rsid w:val="00F33381"/>
    <w:rsid w:val="00F33B64"/>
    <w:rsid w:val="00F35C7C"/>
    <w:rsid w:val="00F40C0E"/>
    <w:rsid w:val="00F40D5E"/>
    <w:rsid w:val="00F42024"/>
    <w:rsid w:val="00F4388D"/>
    <w:rsid w:val="00F43D8F"/>
    <w:rsid w:val="00F44B74"/>
    <w:rsid w:val="00F44DA2"/>
    <w:rsid w:val="00F4512A"/>
    <w:rsid w:val="00F50529"/>
    <w:rsid w:val="00F50A21"/>
    <w:rsid w:val="00F50F24"/>
    <w:rsid w:val="00F50FCF"/>
    <w:rsid w:val="00F51531"/>
    <w:rsid w:val="00F517DC"/>
    <w:rsid w:val="00F52990"/>
    <w:rsid w:val="00F5330D"/>
    <w:rsid w:val="00F55AAA"/>
    <w:rsid w:val="00F60C29"/>
    <w:rsid w:val="00F6332B"/>
    <w:rsid w:val="00F633F3"/>
    <w:rsid w:val="00F640BC"/>
    <w:rsid w:val="00F656DF"/>
    <w:rsid w:val="00F65DF1"/>
    <w:rsid w:val="00F65F3C"/>
    <w:rsid w:val="00F67FE5"/>
    <w:rsid w:val="00F71937"/>
    <w:rsid w:val="00F71E03"/>
    <w:rsid w:val="00F72FAB"/>
    <w:rsid w:val="00F74D16"/>
    <w:rsid w:val="00F75A9C"/>
    <w:rsid w:val="00F768DA"/>
    <w:rsid w:val="00F77655"/>
    <w:rsid w:val="00F77C0E"/>
    <w:rsid w:val="00F80332"/>
    <w:rsid w:val="00F80D5C"/>
    <w:rsid w:val="00F82B0F"/>
    <w:rsid w:val="00F83B75"/>
    <w:rsid w:val="00F844B5"/>
    <w:rsid w:val="00F8464E"/>
    <w:rsid w:val="00F84BA6"/>
    <w:rsid w:val="00F86760"/>
    <w:rsid w:val="00F87CDA"/>
    <w:rsid w:val="00F87D82"/>
    <w:rsid w:val="00F90F03"/>
    <w:rsid w:val="00F93B1F"/>
    <w:rsid w:val="00F941C2"/>
    <w:rsid w:val="00F962E4"/>
    <w:rsid w:val="00FA2C66"/>
    <w:rsid w:val="00FA7466"/>
    <w:rsid w:val="00FB31FF"/>
    <w:rsid w:val="00FB3EF7"/>
    <w:rsid w:val="00FC0423"/>
    <w:rsid w:val="00FC170B"/>
    <w:rsid w:val="00FC22ED"/>
    <w:rsid w:val="00FC2A75"/>
    <w:rsid w:val="00FC4449"/>
    <w:rsid w:val="00FC56A8"/>
    <w:rsid w:val="00FC5943"/>
    <w:rsid w:val="00FC6ADC"/>
    <w:rsid w:val="00FC73CF"/>
    <w:rsid w:val="00FC7E59"/>
    <w:rsid w:val="00FD03F2"/>
    <w:rsid w:val="00FD1B5D"/>
    <w:rsid w:val="00FD1E76"/>
    <w:rsid w:val="00FD28E6"/>
    <w:rsid w:val="00FD6249"/>
    <w:rsid w:val="00FE0E7A"/>
    <w:rsid w:val="00FE3CA1"/>
    <w:rsid w:val="00FE4671"/>
    <w:rsid w:val="00FE4A64"/>
    <w:rsid w:val="00FE4C02"/>
    <w:rsid w:val="00FE7863"/>
    <w:rsid w:val="00FF2496"/>
    <w:rsid w:val="00FF3DF6"/>
    <w:rsid w:val="00FF4C49"/>
    <w:rsid w:val="00FF65F6"/>
    <w:rsid w:val="00FF6F6E"/>
    <w:rsid w:val="00FF7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51207"/>
  <w15:docId w15:val="{69E1F284-64E3-4524-A8CE-24D033D9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AB9"/>
  </w:style>
  <w:style w:type="paragraph" w:styleId="Heading1">
    <w:name w:val="heading 1"/>
    <w:basedOn w:val="Normal"/>
    <w:link w:val="Heading1Char"/>
    <w:autoRedefine/>
    <w:uiPriority w:val="9"/>
    <w:qFormat/>
    <w:rsid w:val="00965BF2"/>
    <w:pPr>
      <w:shd w:val="clear" w:color="auto" w:fill="FFFFFF"/>
      <w:spacing w:before="240" w:after="240"/>
      <w:jc w:val="center"/>
      <w:outlineLvl w:val="0"/>
    </w:pPr>
    <w:rPr>
      <w:rFonts w:asciiTheme="minorHAnsi" w:eastAsia="Times New Roman" w:hAnsiTheme="minorHAnsi" w:cs="Times New Roman"/>
      <w:b/>
      <w:bCs/>
      <w:kern w:val="36"/>
      <w:sz w:val="36"/>
      <w:szCs w:val="36"/>
    </w:rPr>
  </w:style>
  <w:style w:type="paragraph" w:styleId="Heading2">
    <w:name w:val="heading 2"/>
    <w:basedOn w:val="Normal"/>
    <w:next w:val="Normal"/>
    <w:link w:val="Heading2Char"/>
    <w:autoRedefine/>
    <w:uiPriority w:val="9"/>
    <w:unhideWhenUsed/>
    <w:qFormat/>
    <w:rsid w:val="00984037"/>
    <w:pPr>
      <w:keepNext/>
      <w:keepLines/>
      <w:shd w:val="clear" w:color="auto" w:fill="FFFFFF"/>
      <w:spacing w:before="240" w:after="60"/>
      <w:outlineLvl w:val="1"/>
    </w:pPr>
    <w:rPr>
      <w:rFonts w:asciiTheme="minorHAnsi" w:eastAsiaTheme="majorEastAsia" w:hAnsiTheme="minorHAnsi" w:cstheme="majorBidi"/>
      <w:b/>
      <w:bCs/>
      <w:color w:val="000000" w:themeColor="text1"/>
      <w:sz w:val="32"/>
      <w:szCs w:val="26"/>
    </w:rPr>
  </w:style>
  <w:style w:type="paragraph" w:styleId="Heading3">
    <w:name w:val="heading 3"/>
    <w:basedOn w:val="Normal"/>
    <w:next w:val="Normal"/>
    <w:link w:val="Heading3Char"/>
    <w:autoRedefine/>
    <w:uiPriority w:val="9"/>
    <w:unhideWhenUsed/>
    <w:qFormat/>
    <w:rsid w:val="008B38B5"/>
    <w:pPr>
      <w:keepNext/>
      <w:keepLines/>
      <w:spacing w:before="200" w:after="60" w:line="259" w:lineRule="auto"/>
      <w:ind w:left="360"/>
      <w:outlineLvl w:val="2"/>
    </w:pPr>
    <w:rPr>
      <w:rFonts w:asciiTheme="minorHAnsi" w:eastAsiaTheme="majorEastAsia" w:hAnsiTheme="minorHAnsi" w:cstheme="majorBidi"/>
      <w:b/>
      <w:bCs/>
      <w:sz w:val="28"/>
      <w:szCs w:val="24"/>
    </w:rPr>
  </w:style>
  <w:style w:type="paragraph" w:styleId="Heading4">
    <w:name w:val="heading 4"/>
    <w:basedOn w:val="Normal"/>
    <w:next w:val="Normal"/>
    <w:link w:val="Heading4Char"/>
    <w:autoRedefine/>
    <w:uiPriority w:val="9"/>
    <w:unhideWhenUsed/>
    <w:qFormat/>
    <w:rsid w:val="00162E64"/>
    <w:pPr>
      <w:keepNext/>
      <w:keepLines/>
      <w:spacing w:before="120" w:after="60"/>
      <w:ind w:left="360"/>
      <w:outlineLvl w:val="3"/>
    </w:pPr>
    <w:rPr>
      <w:rFonts w:asciiTheme="minorHAnsi" w:eastAsiaTheme="majorEastAsia" w:hAnsiTheme="minorHAnsi" w:cstheme="majorBidi"/>
      <w:b/>
      <w:bCs/>
      <w:iCs/>
      <w:sz w:val="26"/>
    </w:rPr>
  </w:style>
  <w:style w:type="paragraph" w:styleId="Heading5">
    <w:name w:val="heading 5"/>
    <w:basedOn w:val="Normal"/>
    <w:next w:val="Normal"/>
    <w:link w:val="Heading5Char"/>
    <w:uiPriority w:val="9"/>
    <w:unhideWhenUsed/>
    <w:qFormat/>
    <w:rsid w:val="00AA23F4"/>
    <w:pPr>
      <w:keepNext/>
      <w:keepLines/>
      <w:spacing w:before="200"/>
      <w:outlineLvl w:val="4"/>
    </w:pPr>
    <w:rPr>
      <w:rFonts w:asciiTheme="majorHAnsi" w:eastAsiaTheme="majorEastAsia" w:hAnsiTheme="majorHAnsi" w:cstheme="majorBidi"/>
      <w:i/>
      <w:color w:val="4472C4"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6F67"/>
    <w:rPr>
      <w:rFonts w:ascii="Times New Roman" w:hAnsi="Times New Roman" w:cs="Times New Roman"/>
      <w:szCs w:val="24"/>
    </w:rPr>
  </w:style>
  <w:style w:type="character" w:customStyle="1" w:styleId="Heading1Char">
    <w:name w:val="Heading 1 Char"/>
    <w:basedOn w:val="DefaultParagraphFont"/>
    <w:link w:val="Heading1"/>
    <w:uiPriority w:val="9"/>
    <w:rsid w:val="00965BF2"/>
    <w:rPr>
      <w:rFonts w:asciiTheme="minorHAnsi" w:eastAsia="Times New Roman" w:hAnsiTheme="minorHAnsi" w:cs="Times New Roman"/>
      <w:b/>
      <w:bCs/>
      <w:kern w:val="36"/>
      <w:sz w:val="36"/>
      <w:szCs w:val="36"/>
      <w:shd w:val="clear" w:color="auto" w:fill="FFFFFF"/>
    </w:rPr>
  </w:style>
  <w:style w:type="paragraph" w:styleId="HTMLPreformatted">
    <w:name w:val="HTML Preformatted"/>
    <w:basedOn w:val="Normal"/>
    <w:link w:val="HTMLPreformattedChar"/>
    <w:uiPriority w:val="99"/>
    <w:semiHidden/>
    <w:unhideWhenUsed/>
    <w:rsid w:val="0098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85D40"/>
    <w:rPr>
      <w:rFonts w:ascii="Courier New" w:eastAsia="Times New Roman" w:hAnsi="Courier New" w:cs="Courier New"/>
      <w:sz w:val="20"/>
      <w:szCs w:val="20"/>
    </w:rPr>
  </w:style>
  <w:style w:type="paragraph" w:styleId="Title">
    <w:name w:val="Title"/>
    <w:basedOn w:val="Normal"/>
    <w:next w:val="Normal"/>
    <w:link w:val="TitleChar"/>
    <w:uiPriority w:val="10"/>
    <w:qFormat/>
    <w:rsid w:val="00C60DD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60DD2"/>
    <w:rPr>
      <w:rFonts w:asciiTheme="majorHAnsi" w:eastAsiaTheme="majorEastAsia" w:hAnsiTheme="majorHAnsi" w:cstheme="majorBidi"/>
      <w:color w:val="323E4F" w:themeColor="text2" w:themeShade="BF"/>
      <w:spacing w:val="5"/>
      <w:kern w:val="28"/>
      <w:sz w:val="52"/>
      <w:szCs w:val="52"/>
    </w:rPr>
  </w:style>
  <w:style w:type="character" w:customStyle="1" w:styleId="Heading2Char">
    <w:name w:val="Heading 2 Char"/>
    <w:basedOn w:val="DefaultParagraphFont"/>
    <w:link w:val="Heading2"/>
    <w:uiPriority w:val="9"/>
    <w:rsid w:val="00984037"/>
    <w:rPr>
      <w:rFonts w:asciiTheme="minorHAnsi" w:eastAsiaTheme="majorEastAsia" w:hAnsiTheme="minorHAnsi" w:cstheme="majorBidi"/>
      <w:b/>
      <w:bCs/>
      <w:color w:val="000000" w:themeColor="text1"/>
      <w:sz w:val="32"/>
      <w:szCs w:val="26"/>
      <w:shd w:val="clear" w:color="auto" w:fill="FFFFFF"/>
    </w:rPr>
  </w:style>
  <w:style w:type="paragraph" w:styleId="Header">
    <w:name w:val="header"/>
    <w:basedOn w:val="Normal"/>
    <w:link w:val="HeaderChar"/>
    <w:uiPriority w:val="99"/>
    <w:unhideWhenUsed/>
    <w:rsid w:val="00C60DD2"/>
    <w:pPr>
      <w:tabs>
        <w:tab w:val="center" w:pos="4680"/>
        <w:tab w:val="right" w:pos="9360"/>
      </w:tabs>
    </w:pPr>
  </w:style>
  <w:style w:type="character" w:customStyle="1" w:styleId="HeaderChar">
    <w:name w:val="Header Char"/>
    <w:basedOn w:val="DefaultParagraphFont"/>
    <w:link w:val="Header"/>
    <w:uiPriority w:val="99"/>
    <w:rsid w:val="00C60DD2"/>
  </w:style>
  <w:style w:type="paragraph" w:styleId="Footer">
    <w:name w:val="footer"/>
    <w:basedOn w:val="Normal"/>
    <w:link w:val="FooterChar"/>
    <w:uiPriority w:val="99"/>
    <w:unhideWhenUsed/>
    <w:rsid w:val="00C60DD2"/>
    <w:pPr>
      <w:tabs>
        <w:tab w:val="center" w:pos="4680"/>
        <w:tab w:val="right" w:pos="9360"/>
      </w:tabs>
    </w:pPr>
  </w:style>
  <w:style w:type="character" w:customStyle="1" w:styleId="FooterChar">
    <w:name w:val="Footer Char"/>
    <w:basedOn w:val="DefaultParagraphFont"/>
    <w:link w:val="Footer"/>
    <w:uiPriority w:val="99"/>
    <w:rsid w:val="00C60DD2"/>
  </w:style>
  <w:style w:type="paragraph" w:styleId="BalloonText">
    <w:name w:val="Balloon Text"/>
    <w:basedOn w:val="Normal"/>
    <w:link w:val="BalloonTextChar"/>
    <w:uiPriority w:val="99"/>
    <w:semiHidden/>
    <w:unhideWhenUsed/>
    <w:rsid w:val="00394F90"/>
    <w:rPr>
      <w:rFonts w:ascii="Tahoma" w:hAnsi="Tahoma" w:cs="Tahoma"/>
      <w:sz w:val="16"/>
      <w:szCs w:val="16"/>
    </w:rPr>
  </w:style>
  <w:style w:type="character" w:customStyle="1" w:styleId="BalloonTextChar">
    <w:name w:val="Balloon Text Char"/>
    <w:basedOn w:val="DefaultParagraphFont"/>
    <w:link w:val="BalloonText"/>
    <w:uiPriority w:val="99"/>
    <w:semiHidden/>
    <w:rsid w:val="00394F90"/>
    <w:rPr>
      <w:rFonts w:ascii="Tahoma" w:hAnsi="Tahoma" w:cs="Tahoma"/>
      <w:sz w:val="16"/>
      <w:szCs w:val="16"/>
    </w:rPr>
  </w:style>
  <w:style w:type="paragraph" w:styleId="FootnoteText">
    <w:name w:val="footnote text"/>
    <w:basedOn w:val="Normal"/>
    <w:link w:val="FootnoteTextChar"/>
    <w:uiPriority w:val="99"/>
    <w:unhideWhenUsed/>
    <w:rsid w:val="002C203E"/>
    <w:rPr>
      <w:sz w:val="20"/>
      <w:szCs w:val="20"/>
    </w:rPr>
  </w:style>
  <w:style w:type="character" w:customStyle="1" w:styleId="FootnoteTextChar">
    <w:name w:val="Footnote Text Char"/>
    <w:basedOn w:val="DefaultParagraphFont"/>
    <w:link w:val="FootnoteText"/>
    <w:uiPriority w:val="99"/>
    <w:rsid w:val="002C203E"/>
    <w:rPr>
      <w:sz w:val="20"/>
      <w:szCs w:val="20"/>
    </w:rPr>
  </w:style>
  <w:style w:type="character" w:styleId="FootnoteReference">
    <w:name w:val="footnote reference"/>
    <w:basedOn w:val="DefaultParagraphFont"/>
    <w:uiPriority w:val="99"/>
    <w:semiHidden/>
    <w:unhideWhenUsed/>
    <w:rsid w:val="002C203E"/>
    <w:rPr>
      <w:vertAlign w:val="superscript"/>
    </w:rPr>
  </w:style>
  <w:style w:type="character" w:customStyle="1" w:styleId="Heading3Char">
    <w:name w:val="Heading 3 Char"/>
    <w:basedOn w:val="DefaultParagraphFont"/>
    <w:link w:val="Heading3"/>
    <w:uiPriority w:val="9"/>
    <w:rsid w:val="008B38B5"/>
    <w:rPr>
      <w:rFonts w:asciiTheme="minorHAnsi" w:eastAsiaTheme="majorEastAsia" w:hAnsiTheme="minorHAnsi" w:cstheme="majorBidi"/>
      <w:b/>
      <w:bCs/>
      <w:sz w:val="28"/>
      <w:szCs w:val="24"/>
    </w:rPr>
  </w:style>
  <w:style w:type="character" w:customStyle="1" w:styleId="Heading4Char">
    <w:name w:val="Heading 4 Char"/>
    <w:basedOn w:val="DefaultParagraphFont"/>
    <w:link w:val="Heading4"/>
    <w:uiPriority w:val="9"/>
    <w:rsid w:val="00162E64"/>
    <w:rPr>
      <w:rFonts w:asciiTheme="minorHAnsi" w:eastAsiaTheme="majorEastAsia" w:hAnsiTheme="minorHAnsi" w:cstheme="majorBidi"/>
      <w:b/>
      <w:bCs/>
      <w:iCs/>
      <w:sz w:val="26"/>
    </w:rPr>
  </w:style>
  <w:style w:type="character" w:customStyle="1" w:styleId="Heading5Char">
    <w:name w:val="Heading 5 Char"/>
    <w:basedOn w:val="DefaultParagraphFont"/>
    <w:link w:val="Heading5"/>
    <w:uiPriority w:val="9"/>
    <w:rsid w:val="00AA23F4"/>
    <w:rPr>
      <w:rFonts w:asciiTheme="majorHAnsi" w:eastAsiaTheme="majorEastAsia" w:hAnsiTheme="majorHAnsi" w:cstheme="majorBidi"/>
      <w:i/>
      <w:color w:val="4472C4" w:themeColor="accent5"/>
    </w:rPr>
  </w:style>
  <w:style w:type="paragraph" w:styleId="ListParagraph">
    <w:name w:val="List Paragraph"/>
    <w:basedOn w:val="Normal"/>
    <w:uiPriority w:val="34"/>
    <w:qFormat/>
    <w:rsid w:val="00746814"/>
    <w:pPr>
      <w:ind w:left="720"/>
      <w:contextualSpacing/>
    </w:pPr>
  </w:style>
  <w:style w:type="character" w:styleId="Hyperlink">
    <w:name w:val="Hyperlink"/>
    <w:basedOn w:val="DefaultParagraphFont"/>
    <w:uiPriority w:val="99"/>
    <w:unhideWhenUsed/>
    <w:rsid w:val="006B5D63"/>
    <w:rPr>
      <w:color w:val="0563C1" w:themeColor="hyperlink"/>
      <w:u w:val="single"/>
    </w:rPr>
  </w:style>
  <w:style w:type="paragraph" w:styleId="NoSpacing">
    <w:name w:val="No Spacing"/>
    <w:link w:val="NoSpacingChar"/>
    <w:uiPriority w:val="1"/>
    <w:qFormat/>
    <w:rsid w:val="00643A8B"/>
    <w:rPr>
      <w:rFonts w:asciiTheme="minorHAnsi" w:eastAsiaTheme="minorEastAsia" w:hAnsiTheme="minorHAnsi"/>
      <w:sz w:val="22"/>
    </w:rPr>
  </w:style>
  <w:style w:type="character" w:customStyle="1" w:styleId="NoSpacingChar">
    <w:name w:val="No Spacing Char"/>
    <w:basedOn w:val="DefaultParagraphFont"/>
    <w:link w:val="NoSpacing"/>
    <w:uiPriority w:val="1"/>
    <w:rsid w:val="00643A8B"/>
    <w:rPr>
      <w:rFonts w:asciiTheme="minorHAnsi" w:eastAsiaTheme="minorEastAsia" w:hAnsiTheme="minorHAnsi"/>
      <w:sz w:val="22"/>
    </w:rPr>
  </w:style>
  <w:style w:type="character" w:styleId="PlaceholderText">
    <w:name w:val="Placeholder Text"/>
    <w:basedOn w:val="DefaultParagraphFont"/>
    <w:uiPriority w:val="99"/>
    <w:semiHidden/>
    <w:rsid w:val="007F6E34"/>
    <w:rPr>
      <w:color w:val="808080"/>
    </w:rPr>
  </w:style>
  <w:style w:type="paragraph" w:styleId="Revision">
    <w:name w:val="Revision"/>
    <w:hidden/>
    <w:uiPriority w:val="99"/>
    <w:semiHidden/>
    <w:rsid w:val="009E1542"/>
  </w:style>
  <w:style w:type="character" w:styleId="CommentReference">
    <w:name w:val="annotation reference"/>
    <w:basedOn w:val="DefaultParagraphFont"/>
    <w:uiPriority w:val="99"/>
    <w:semiHidden/>
    <w:unhideWhenUsed/>
    <w:rsid w:val="00BF0BF2"/>
    <w:rPr>
      <w:sz w:val="16"/>
      <w:szCs w:val="16"/>
    </w:rPr>
  </w:style>
  <w:style w:type="paragraph" w:styleId="CommentText">
    <w:name w:val="annotation text"/>
    <w:basedOn w:val="Normal"/>
    <w:link w:val="CommentTextChar"/>
    <w:uiPriority w:val="99"/>
    <w:unhideWhenUsed/>
    <w:rsid w:val="00BF0BF2"/>
    <w:rPr>
      <w:sz w:val="20"/>
      <w:szCs w:val="20"/>
    </w:rPr>
  </w:style>
  <w:style w:type="character" w:customStyle="1" w:styleId="CommentTextChar">
    <w:name w:val="Comment Text Char"/>
    <w:basedOn w:val="DefaultParagraphFont"/>
    <w:link w:val="CommentText"/>
    <w:uiPriority w:val="99"/>
    <w:rsid w:val="00BF0BF2"/>
    <w:rPr>
      <w:sz w:val="20"/>
      <w:szCs w:val="20"/>
    </w:rPr>
  </w:style>
  <w:style w:type="paragraph" w:styleId="CommentSubject">
    <w:name w:val="annotation subject"/>
    <w:basedOn w:val="CommentText"/>
    <w:next w:val="CommentText"/>
    <w:link w:val="CommentSubjectChar"/>
    <w:uiPriority w:val="99"/>
    <w:semiHidden/>
    <w:unhideWhenUsed/>
    <w:rsid w:val="00BF0BF2"/>
    <w:rPr>
      <w:b/>
      <w:bCs/>
    </w:rPr>
  </w:style>
  <w:style w:type="character" w:customStyle="1" w:styleId="CommentSubjectChar">
    <w:name w:val="Comment Subject Char"/>
    <w:basedOn w:val="CommentTextChar"/>
    <w:link w:val="CommentSubject"/>
    <w:uiPriority w:val="99"/>
    <w:semiHidden/>
    <w:rsid w:val="00BF0BF2"/>
    <w:rPr>
      <w:b/>
      <w:bCs/>
      <w:sz w:val="20"/>
      <w:szCs w:val="20"/>
    </w:rPr>
  </w:style>
  <w:style w:type="paragraph" w:styleId="TOCHeading">
    <w:name w:val="TOC Heading"/>
    <w:basedOn w:val="Heading1"/>
    <w:next w:val="Normal"/>
    <w:uiPriority w:val="39"/>
    <w:unhideWhenUsed/>
    <w:qFormat/>
    <w:rsid w:val="00A9147E"/>
    <w:pPr>
      <w:keepNext/>
      <w:keepLines/>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475F70"/>
    <w:pPr>
      <w:tabs>
        <w:tab w:val="left" w:pos="475"/>
        <w:tab w:val="right" w:leader="dot" w:pos="9350"/>
      </w:tabs>
      <w:spacing w:line="259" w:lineRule="auto"/>
    </w:pPr>
  </w:style>
  <w:style w:type="paragraph" w:styleId="TOC2">
    <w:name w:val="toc 2"/>
    <w:basedOn w:val="Normal"/>
    <w:next w:val="Normal"/>
    <w:autoRedefine/>
    <w:uiPriority w:val="39"/>
    <w:unhideWhenUsed/>
    <w:rsid w:val="00406E1D"/>
    <w:pPr>
      <w:tabs>
        <w:tab w:val="right" w:leader="dot" w:pos="9350"/>
      </w:tabs>
      <w:spacing w:after="100"/>
      <w:ind w:left="245"/>
    </w:pPr>
  </w:style>
  <w:style w:type="paragraph" w:styleId="TOC3">
    <w:name w:val="toc 3"/>
    <w:basedOn w:val="Normal"/>
    <w:next w:val="Normal"/>
    <w:autoRedefine/>
    <w:uiPriority w:val="39"/>
    <w:unhideWhenUsed/>
    <w:rsid w:val="00406E1D"/>
    <w:pPr>
      <w:tabs>
        <w:tab w:val="left" w:pos="1100"/>
        <w:tab w:val="right" w:leader="dot" w:pos="9350"/>
      </w:tabs>
      <w:spacing w:after="100" w:line="300" w:lineRule="auto"/>
      <w:ind w:left="475"/>
    </w:pPr>
  </w:style>
  <w:style w:type="character" w:customStyle="1" w:styleId="apple-converted-space">
    <w:name w:val="apple-converted-space"/>
    <w:basedOn w:val="DefaultParagraphFont"/>
    <w:rsid w:val="00D43F97"/>
  </w:style>
  <w:style w:type="paragraph" w:styleId="TOC4">
    <w:name w:val="toc 4"/>
    <w:basedOn w:val="Normal"/>
    <w:next w:val="Normal"/>
    <w:autoRedefine/>
    <w:uiPriority w:val="39"/>
    <w:unhideWhenUsed/>
    <w:rsid w:val="00861D4C"/>
    <w:pPr>
      <w:spacing w:after="100"/>
      <w:ind w:left="720"/>
    </w:pPr>
  </w:style>
  <w:style w:type="character" w:styleId="Strong">
    <w:name w:val="Strong"/>
    <w:basedOn w:val="DefaultParagraphFont"/>
    <w:uiPriority w:val="22"/>
    <w:qFormat/>
    <w:rsid w:val="00DB0355"/>
    <w:rPr>
      <w:b/>
      <w:bCs/>
    </w:rPr>
  </w:style>
  <w:style w:type="paragraph" w:styleId="Quote">
    <w:name w:val="Quote"/>
    <w:basedOn w:val="Normal"/>
    <w:next w:val="Normal"/>
    <w:link w:val="QuoteChar"/>
    <w:uiPriority w:val="29"/>
    <w:qFormat/>
    <w:rsid w:val="001608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60820"/>
    <w:rPr>
      <w:i/>
      <w:iCs/>
      <w:color w:val="404040" w:themeColor="text1" w:themeTint="BF"/>
    </w:rPr>
  </w:style>
  <w:style w:type="character" w:styleId="FollowedHyperlink">
    <w:name w:val="FollowedHyperlink"/>
    <w:basedOn w:val="DefaultParagraphFont"/>
    <w:uiPriority w:val="99"/>
    <w:semiHidden/>
    <w:unhideWhenUsed/>
    <w:rsid w:val="00B74EBE"/>
    <w:rPr>
      <w:color w:val="954F72" w:themeColor="followedHyperlink"/>
      <w:u w:val="single"/>
    </w:rPr>
  </w:style>
  <w:style w:type="table" w:styleId="TableGrid">
    <w:name w:val="Table Grid"/>
    <w:basedOn w:val="TableNormal"/>
    <w:uiPriority w:val="39"/>
    <w:rsid w:val="00996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71937"/>
    <w:pPr>
      <w:spacing w:after="200"/>
    </w:pPr>
    <w:rPr>
      <w:i/>
      <w:iCs/>
      <w:color w:val="44546A" w:themeColor="text2"/>
      <w:sz w:val="18"/>
      <w:szCs w:val="18"/>
    </w:rPr>
  </w:style>
  <w:style w:type="paragraph" w:styleId="TableofFigures">
    <w:name w:val="table of figures"/>
    <w:basedOn w:val="Normal"/>
    <w:next w:val="Normal"/>
    <w:uiPriority w:val="99"/>
    <w:unhideWhenUsed/>
    <w:rsid w:val="00E43E45"/>
    <w:rPr>
      <w:sz w:val="22"/>
    </w:rPr>
  </w:style>
  <w:style w:type="paragraph" w:styleId="Index1">
    <w:name w:val="index 1"/>
    <w:basedOn w:val="Normal"/>
    <w:next w:val="Normal"/>
    <w:autoRedefine/>
    <w:uiPriority w:val="99"/>
    <w:semiHidden/>
    <w:unhideWhenUsed/>
    <w:rsid w:val="00B17310"/>
    <w:pPr>
      <w:ind w:left="240" w:hanging="240"/>
    </w:pPr>
  </w:style>
  <w:style w:type="paragraph" w:customStyle="1" w:styleId="p1">
    <w:name w:val="p1"/>
    <w:basedOn w:val="Normal"/>
    <w:rsid w:val="000124F0"/>
    <w:pPr>
      <w:spacing w:before="100" w:beforeAutospacing="1" w:after="100" w:afterAutospacing="1"/>
      <w:ind w:firstLine="187"/>
    </w:pPr>
    <w:rPr>
      <w:rFonts w:ascii="Times New Roman" w:eastAsia="Times New Roman" w:hAnsi="Times New Roman" w:cs="Times New Roman"/>
      <w:sz w:val="20"/>
      <w:szCs w:val="20"/>
    </w:rPr>
  </w:style>
  <w:style w:type="paragraph" w:customStyle="1" w:styleId="p2">
    <w:name w:val="p2"/>
    <w:basedOn w:val="Normal"/>
    <w:rsid w:val="000124F0"/>
    <w:pPr>
      <w:spacing w:before="100" w:beforeAutospacing="1" w:after="100" w:afterAutospacing="1"/>
      <w:ind w:firstLine="389"/>
    </w:pPr>
    <w:rPr>
      <w:rFonts w:ascii="Times New Roman" w:eastAsia="Times New Roman" w:hAnsi="Times New Roman" w:cs="Times New Roman"/>
      <w:sz w:val="20"/>
      <w:szCs w:val="20"/>
    </w:rPr>
  </w:style>
  <w:style w:type="paragraph" w:customStyle="1" w:styleId="Default">
    <w:name w:val="Default"/>
    <w:rsid w:val="0030414C"/>
    <w:pPr>
      <w:autoSpaceDE w:val="0"/>
      <w:autoSpaceDN w:val="0"/>
      <w:adjustRightInd w:val="0"/>
      <w:spacing w:line="240" w:lineRule="auto"/>
    </w:pPr>
    <w:rPr>
      <w:rFonts w:ascii="Cambria" w:hAnsi="Cambria" w:cs="Cambria"/>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8411">
      <w:bodyDiv w:val="1"/>
      <w:marLeft w:val="0"/>
      <w:marRight w:val="0"/>
      <w:marTop w:val="0"/>
      <w:marBottom w:val="0"/>
      <w:divBdr>
        <w:top w:val="none" w:sz="0" w:space="0" w:color="auto"/>
        <w:left w:val="none" w:sz="0" w:space="0" w:color="auto"/>
        <w:bottom w:val="none" w:sz="0" w:space="0" w:color="auto"/>
        <w:right w:val="none" w:sz="0" w:space="0" w:color="auto"/>
      </w:divBdr>
    </w:div>
    <w:div w:id="17851275">
      <w:bodyDiv w:val="1"/>
      <w:marLeft w:val="0"/>
      <w:marRight w:val="0"/>
      <w:marTop w:val="0"/>
      <w:marBottom w:val="0"/>
      <w:divBdr>
        <w:top w:val="none" w:sz="0" w:space="0" w:color="auto"/>
        <w:left w:val="none" w:sz="0" w:space="0" w:color="auto"/>
        <w:bottom w:val="none" w:sz="0" w:space="0" w:color="auto"/>
        <w:right w:val="none" w:sz="0" w:space="0" w:color="auto"/>
      </w:divBdr>
    </w:div>
    <w:div w:id="107043134">
      <w:bodyDiv w:val="1"/>
      <w:marLeft w:val="0"/>
      <w:marRight w:val="0"/>
      <w:marTop w:val="0"/>
      <w:marBottom w:val="0"/>
      <w:divBdr>
        <w:top w:val="none" w:sz="0" w:space="0" w:color="auto"/>
        <w:left w:val="none" w:sz="0" w:space="0" w:color="auto"/>
        <w:bottom w:val="none" w:sz="0" w:space="0" w:color="auto"/>
        <w:right w:val="none" w:sz="0" w:space="0" w:color="auto"/>
      </w:divBdr>
    </w:div>
    <w:div w:id="116681526">
      <w:bodyDiv w:val="1"/>
      <w:marLeft w:val="0"/>
      <w:marRight w:val="0"/>
      <w:marTop w:val="0"/>
      <w:marBottom w:val="0"/>
      <w:divBdr>
        <w:top w:val="none" w:sz="0" w:space="0" w:color="auto"/>
        <w:left w:val="none" w:sz="0" w:space="0" w:color="auto"/>
        <w:bottom w:val="none" w:sz="0" w:space="0" w:color="auto"/>
        <w:right w:val="none" w:sz="0" w:space="0" w:color="auto"/>
      </w:divBdr>
    </w:div>
    <w:div w:id="117529162">
      <w:bodyDiv w:val="1"/>
      <w:marLeft w:val="0"/>
      <w:marRight w:val="0"/>
      <w:marTop w:val="0"/>
      <w:marBottom w:val="0"/>
      <w:divBdr>
        <w:top w:val="none" w:sz="0" w:space="0" w:color="auto"/>
        <w:left w:val="none" w:sz="0" w:space="0" w:color="auto"/>
        <w:bottom w:val="none" w:sz="0" w:space="0" w:color="auto"/>
        <w:right w:val="none" w:sz="0" w:space="0" w:color="auto"/>
      </w:divBdr>
    </w:div>
    <w:div w:id="159394917">
      <w:bodyDiv w:val="1"/>
      <w:marLeft w:val="0"/>
      <w:marRight w:val="0"/>
      <w:marTop w:val="0"/>
      <w:marBottom w:val="0"/>
      <w:divBdr>
        <w:top w:val="none" w:sz="0" w:space="0" w:color="auto"/>
        <w:left w:val="none" w:sz="0" w:space="0" w:color="auto"/>
        <w:bottom w:val="none" w:sz="0" w:space="0" w:color="auto"/>
        <w:right w:val="none" w:sz="0" w:space="0" w:color="auto"/>
      </w:divBdr>
    </w:div>
    <w:div w:id="168177463">
      <w:bodyDiv w:val="1"/>
      <w:marLeft w:val="0"/>
      <w:marRight w:val="0"/>
      <w:marTop w:val="0"/>
      <w:marBottom w:val="0"/>
      <w:divBdr>
        <w:top w:val="none" w:sz="0" w:space="0" w:color="auto"/>
        <w:left w:val="none" w:sz="0" w:space="0" w:color="auto"/>
        <w:bottom w:val="none" w:sz="0" w:space="0" w:color="auto"/>
        <w:right w:val="none" w:sz="0" w:space="0" w:color="auto"/>
      </w:divBdr>
    </w:div>
    <w:div w:id="195699690">
      <w:bodyDiv w:val="1"/>
      <w:marLeft w:val="0"/>
      <w:marRight w:val="0"/>
      <w:marTop w:val="0"/>
      <w:marBottom w:val="0"/>
      <w:divBdr>
        <w:top w:val="none" w:sz="0" w:space="0" w:color="auto"/>
        <w:left w:val="none" w:sz="0" w:space="0" w:color="auto"/>
        <w:bottom w:val="none" w:sz="0" w:space="0" w:color="auto"/>
        <w:right w:val="none" w:sz="0" w:space="0" w:color="auto"/>
      </w:divBdr>
    </w:div>
    <w:div w:id="200677416">
      <w:bodyDiv w:val="1"/>
      <w:marLeft w:val="0"/>
      <w:marRight w:val="0"/>
      <w:marTop w:val="0"/>
      <w:marBottom w:val="0"/>
      <w:divBdr>
        <w:top w:val="none" w:sz="0" w:space="0" w:color="auto"/>
        <w:left w:val="none" w:sz="0" w:space="0" w:color="auto"/>
        <w:bottom w:val="none" w:sz="0" w:space="0" w:color="auto"/>
        <w:right w:val="none" w:sz="0" w:space="0" w:color="auto"/>
      </w:divBdr>
    </w:div>
    <w:div w:id="221719940">
      <w:bodyDiv w:val="1"/>
      <w:marLeft w:val="0"/>
      <w:marRight w:val="0"/>
      <w:marTop w:val="0"/>
      <w:marBottom w:val="0"/>
      <w:divBdr>
        <w:top w:val="none" w:sz="0" w:space="0" w:color="auto"/>
        <w:left w:val="none" w:sz="0" w:space="0" w:color="auto"/>
        <w:bottom w:val="none" w:sz="0" w:space="0" w:color="auto"/>
        <w:right w:val="none" w:sz="0" w:space="0" w:color="auto"/>
      </w:divBdr>
    </w:div>
    <w:div w:id="244338071">
      <w:bodyDiv w:val="1"/>
      <w:marLeft w:val="0"/>
      <w:marRight w:val="0"/>
      <w:marTop w:val="0"/>
      <w:marBottom w:val="0"/>
      <w:divBdr>
        <w:top w:val="none" w:sz="0" w:space="0" w:color="auto"/>
        <w:left w:val="none" w:sz="0" w:space="0" w:color="auto"/>
        <w:bottom w:val="none" w:sz="0" w:space="0" w:color="auto"/>
        <w:right w:val="none" w:sz="0" w:space="0" w:color="auto"/>
      </w:divBdr>
    </w:div>
    <w:div w:id="257910323">
      <w:bodyDiv w:val="1"/>
      <w:marLeft w:val="0"/>
      <w:marRight w:val="0"/>
      <w:marTop w:val="0"/>
      <w:marBottom w:val="0"/>
      <w:divBdr>
        <w:top w:val="none" w:sz="0" w:space="0" w:color="auto"/>
        <w:left w:val="none" w:sz="0" w:space="0" w:color="auto"/>
        <w:bottom w:val="none" w:sz="0" w:space="0" w:color="auto"/>
        <w:right w:val="none" w:sz="0" w:space="0" w:color="auto"/>
      </w:divBdr>
    </w:div>
    <w:div w:id="418059577">
      <w:bodyDiv w:val="1"/>
      <w:marLeft w:val="0"/>
      <w:marRight w:val="0"/>
      <w:marTop w:val="0"/>
      <w:marBottom w:val="0"/>
      <w:divBdr>
        <w:top w:val="none" w:sz="0" w:space="0" w:color="auto"/>
        <w:left w:val="none" w:sz="0" w:space="0" w:color="auto"/>
        <w:bottom w:val="none" w:sz="0" w:space="0" w:color="auto"/>
        <w:right w:val="none" w:sz="0" w:space="0" w:color="auto"/>
      </w:divBdr>
    </w:div>
    <w:div w:id="530149991">
      <w:bodyDiv w:val="1"/>
      <w:marLeft w:val="0"/>
      <w:marRight w:val="0"/>
      <w:marTop w:val="0"/>
      <w:marBottom w:val="0"/>
      <w:divBdr>
        <w:top w:val="none" w:sz="0" w:space="0" w:color="auto"/>
        <w:left w:val="none" w:sz="0" w:space="0" w:color="auto"/>
        <w:bottom w:val="none" w:sz="0" w:space="0" w:color="auto"/>
        <w:right w:val="none" w:sz="0" w:space="0" w:color="auto"/>
      </w:divBdr>
    </w:div>
    <w:div w:id="535314888">
      <w:bodyDiv w:val="1"/>
      <w:marLeft w:val="0"/>
      <w:marRight w:val="0"/>
      <w:marTop w:val="0"/>
      <w:marBottom w:val="0"/>
      <w:divBdr>
        <w:top w:val="none" w:sz="0" w:space="0" w:color="auto"/>
        <w:left w:val="none" w:sz="0" w:space="0" w:color="auto"/>
        <w:bottom w:val="none" w:sz="0" w:space="0" w:color="auto"/>
        <w:right w:val="none" w:sz="0" w:space="0" w:color="auto"/>
      </w:divBdr>
    </w:div>
    <w:div w:id="538784320">
      <w:bodyDiv w:val="1"/>
      <w:marLeft w:val="0"/>
      <w:marRight w:val="0"/>
      <w:marTop w:val="0"/>
      <w:marBottom w:val="0"/>
      <w:divBdr>
        <w:top w:val="none" w:sz="0" w:space="0" w:color="auto"/>
        <w:left w:val="none" w:sz="0" w:space="0" w:color="auto"/>
        <w:bottom w:val="none" w:sz="0" w:space="0" w:color="auto"/>
        <w:right w:val="none" w:sz="0" w:space="0" w:color="auto"/>
      </w:divBdr>
    </w:div>
    <w:div w:id="600798793">
      <w:bodyDiv w:val="1"/>
      <w:marLeft w:val="0"/>
      <w:marRight w:val="0"/>
      <w:marTop w:val="0"/>
      <w:marBottom w:val="0"/>
      <w:divBdr>
        <w:top w:val="none" w:sz="0" w:space="0" w:color="auto"/>
        <w:left w:val="none" w:sz="0" w:space="0" w:color="auto"/>
        <w:bottom w:val="none" w:sz="0" w:space="0" w:color="auto"/>
        <w:right w:val="none" w:sz="0" w:space="0" w:color="auto"/>
      </w:divBdr>
    </w:div>
    <w:div w:id="621423401">
      <w:bodyDiv w:val="1"/>
      <w:marLeft w:val="0"/>
      <w:marRight w:val="0"/>
      <w:marTop w:val="0"/>
      <w:marBottom w:val="0"/>
      <w:divBdr>
        <w:top w:val="none" w:sz="0" w:space="0" w:color="auto"/>
        <w:left w:val="none" w:sz="0" w:space="0" w:color="auto"/>
        <w:bottom w:val="none" w:sz="0" w:space="0" w:color="auto"/>
        <w:right w:val="none" w:sz="0" w:space="0" w:color="auto"/>
      </w:divBdr>
    </w:div>
    <w:div w:id="675960689">
      <w:bodyDiv w:val="1"/>
      <w:marLeft w:val="0"/>
      <w:marRight w:val="0"/>
      <w:marTop w:val="0"/>
      <w:marBottom w:val="0"/>
      <w:divBdr>
        <w:top w:val="none" w:sz="0" w:space="0" w:color="auto"/>
        <w:left w:val="none" w:sz="0" w:space="0" w:color="auto"/>
        <w:bottom w:val="none" w:sz="0" w:space="0" w:color="auto"/>
        <w:right w:val="none" w:sz="0" w:space="0" w:color="auto"/>
      </w:divBdr>
    </w:div>
    <w:div w:id="687023187">
      <w:bodyDiv w:val="1"/>
      <w:marLeft w:val="0"/>
      <w:marRight w:val="0"/>
      <w:marTop w:val="0"/>
      <w:marBottom w:val="0"/>
      <w:divBdr>
        <w:top w:val="none" w:sz="0" w:space="0" w:color="auto"/>
        <w:left w:val="none" w:sz="0" w:space="0" w:color="auto"/>
        <w:bottom w:val="none" w:sz="0" w:space="0" w:color="auto"/>
        <w:right w:val="none" w:sz="0" w:space="0" w:color="auto"/>
      </w:divBdr>
    </w:div>
    <w:div w:id="698625960">
      <w:bodyDiv w:val="1"/>
      <w:marLeft w:val="0"/>
      <w:marRight w:val="0"/>
      <w:marTop w:val="0"/>
      <w:marBottom w:val="0"/>
      <w:divBdr>
        <w:top w:val="none" w:sz="0" w:space="0" w:color="auto"/>
        <w:left w:val="none" w:sz="0" w:space="0" w:color="auto"/>
        <w:bottom w:val="none" w:sz="0" w:space="0" w:color="auto"/>
        <w:right w:val="none" w:sz="0" w:space="0" w:color="auto"/>
      </w:divBdr>
    </w:div>
    <w:div w:id="716393474">
      <w:bodyDiv w:val="1"/>
      <w:marLeft w:val="0"/>
      <w:marRight w:val="0"/>
      <w:marTop w:val="0"/>
      <w:marBottom w:val="0"/>
      <w:divBdr>
        <w:top w:val="none" w:sz="0" w:space="0" w:color="auto"/>
        <w:left w:val="none" w:sz="0" w:space="0" w:color="auto"/>
        <w:bottom w:val="none" w:sz="0" w:space="0" w:color="auto"/>
        <w:right w:val="none" w:sz="0" w:space="0" w:color="auto"/>
      </w:divBdr>
    </w:div>
    <w:div w:id="754783568">
      <w:bodyDiv w:val="1"/>
      <w:marLeft w:val="0"/>
      <w:marRight w:val="0"/>
      <w:marTop w:val="0"/>
      <w:marBottom w:val="0"/>
      <w:divBdr>
        <w:top w:val="none" w:sz="0" w:space="0" w:color="auto"/>
        <w:left w:val="none" w:sz="0" w:space="0" w:color="auto"/>
        <w:bottom w:val="none" w:sz="0" w:space="0" w:color="auto"/>
        <w:right w:val="none" w:sz="0" w:space="0" w:color="auto"/>
      </w:divBdr>
    </w:div>
    <w:div w:id="800461467">
      <w:bodyDiv w:val="1"/>
      <w:marLeft w:val="0"/>
      <w:marRight w:val="0"/>
      <w:marTop w:val="0"/>
      <w:marBottom w:val="0"/>
      <w:divBdr>
        <w:top w:val="none" w:sz="0" w:space="0" w:color="auto"/>
        <w:left w:val="none" w:sz="0" w:space="0" w:color="auto"/>
        <w:bottom w:val="none" w:sz="0" w:space="0" w:color="auto"/>
        <w:right w:val="none" w:sz="0" w:space="0" w:color="auto"/>
      </w:divBdr>
    </w:div>
    <w:div w:id="841579715">
      <w:bodyDiv w:val="1"/>
      <w:marLeft w:val="0"/>
      <w:marRight w:val="0"/>
      <w:marTop w:val="0"/>
      <w:marBottom w:val="0"/>
      <w:divBdr>
        <w:top w:val="none" w:sz="0" w:space="0" w:color="auto"/>
        <w:left w:val="none" w:sz="0" w:space="0" w:color="auto"/>
        <w:bottom w:val="none" w:sz="0" w:space="0" w:color="auto"/>
        <w:right w:val="none" w:sz="0" w:space="0" w:color="auto"/>
      </w:divBdr>
    </w:div>
    <w:div w:id="855927737">
      <w:bodyDiv w:val="1"/>
      <w:marLeft w:val="0"/>
      <w:marRight w:val="0"/>
      <w:marTop w:val="0"/>
      <w:marBottom w:val="0"/>
      <w:divBdr>
        <w:top w:val="none" w:sz="0" w:space="0" w:color="auto"/>
        <w:left w:val="none" w:sz="0" w:space="0" w:color="auto"/>
        <w:bottom w:val="none" w:sz="0" w:space="0" w:color="auto"/>
        <w:right w:val="none" w:sz="0" w:space="0" w:color="auto"/>
      </w:divBdr>
    </w:div>
    <w:div w:id="859051061">
      <w:bodyDiv w:val="1"/>
      <w:marLeft w:val="0"/>
      <w:marRight w:val="0"/>
      <w:marTop w:val="0"/>
      <w:marBottom w:val="0"/>
      <w:divBdr>
        <w:top w:val="none" w:sz="0" w:space="0" w:color="auto"/>
        <w:left w:val="none" w:sz="0" w:space="0" w:color="auto"/>
        <w:bottom w:val="none" w:sz="0" w:space="0" w:color="auto"/>
        <w:right w:val="none" w:sz="0" w:space="0" w:color="auto"/>
      </w:divBdr>
    </w:div>
    <w:div w:id="896430837">
      <w:bodyDiv w:val="1"/>
      <w:marLeft w:val="0"/>
      <w:marRight w:val="0"/>
      <w:marTop w:val="0"/>
      <w:marBottom w:val="0"/>
      <w:divBdr>
        <w:top w:val="none" w:sz="0" w:space="0" w:color="auto"/>
        <w:left w:val="none" w:sz="0" w:space="0" w:color="auto"/>
        <w:bottom w:val="none" w:sz="0" w:space="0" w:color="auto"/>
        <w:right w:val="none" w:sz="0" w:space="0" w:color="auto"/>
      </w:divBdr>
    </w:div>
    <w:div w:id="926959304">
      <w:bodyDiv w:val="1"/>
      <w:marLeft w:val="0"/>
      <w:marRight w:val="0"/>
      <w:marTop w:val="0"/>
      <w:marBottom w:val="0"/>
      <w:divBdr>
        <w:top w:val="none" w:sz="0" w:space="0" w:color="auto"/>
        <w:left w:val="none" w:sz="0" w:space="0" w:color="auto"/>
        <w:bottom w:val="none" w:sz="0" w:space="0" w:color="auto"/>
        <w:right w:val="none" w:sz="0" w:space="0" w:color="auto"/>
      </w:divBdr>
    </w:div>
    <w:div w:id="934509342">
      <w:bodyDiv w:val="1"/>
      <w:marLeft w:val="0"/>
      <w:marRight w:val="0"/>
      <w:marTop w:val="0"/>
      <w:marBottom w:val="0"/>
      <w:divBdr>
        <w:top w:val="none" w:sz="0" w:space="0" w:color="auto"/>
        <w:left w:val="none" w:sz="0" w:space="0" w:color="auto"/>
        <w:bottom w:val="none" w:sz="0" w:space="0" w:color="auto"/>
        <w:right w:val="none" w:sz="0" w:space="0" w:color="auto"/>
      </w:divBdr>
    </w:div>
    <w:div w:id="1012605840">
      <w:bodyDiv w:val="1"/>
      <w:marLeft w:val="0"/>
      <w:marRight w:val="0"/>
      <w:marTop w:val="0"/>
      <w:marBottom w:val="0"/>
      <w:divBdr>
        <w:top w:val="none" w:sz="0" w:space="0" w:color="auto"/>
        <w:left w:val="none" w:sz="0" w:space="0" w:color="auto"/>
        <w:bottom w:val="none" w:sz="0" w:space="0" w:color="auto"/>
        <w:right w:val="none" w:sz="0" w:space="0" w:color="auto"/>
      </w:divBdr>
    </w:div>
    <w:div w:id="1056859713">
      <w:bodyDiv w:val="1"/>
      <w:marLeft w:val="0"/>
      <w:marRight w:val="0"/>
      <w:marTop w:val="0"/>
      <w:marBottom w:val="0"/>
      <w:divBdr>
        <w:top w:val="none" w:sz="0" w:space="0" w:color="auto"/>
        <w:left w:val="none" w:sz="0" w:space="0" w:color="auto"/>
        <w:bottom w:val="none" w:sz="0" w:space="0" w:color="auto"/>
        <w:right w:val="none" w:sz="0" w:space="0" w:color="auto"/>
      </w:divBdr>
      <w:divsChild>
        <w:div w:id="702706769">
          <w:marLeft w:val="0"/>
          <w:marRight w:val="0"/>
          <w:marTop w:val="0"/>
          <w:marBottom w:val="0"/>
          <w:divBdr>
            <w:top w:val="none" w:sz="0" w:space="0" w:color="auto"/>
            <w:left w:val="none" w:sz="0" w:space="0" w:color="auto"/>
            <w:bottom w:val="none" w:sz="0" w:space="0" w:color="auto"/>
            <w:right w:val="none" w:sz="0" w:space="0" w:color="auto"/>
          </w:divBdr>
          <w:divsChild>
            <w:div w:id="2127045325">
              <w:marLeft w:val="0"/>
              <w:marRight w:val="0"/>
              <w:marTop w:val="0"/>
              <w:marBottom w:val="0"/>
              <w:divBdr>
                <w:top w:val="none" w:sz="0" w:space="0" w:color="auto"/>
                <w:left w:val="none" w:sz="0" w:space="0" w:color="auto"/>
                <w:bottom w:val="none" w:sz="0" w:space="0" w:color="auto"/>
                <w:right w:val="none" w:sz="0" w:space="0" w:color="auto"/>
              </w:divBdr>
              <w:divsChild>
                <w:div w:id="371467066">
                  <w:marLeft w:val="0"/>
                  <w:marRight w:val="0"/>
                  <w:marTop w:val="0"/>
                  <w:marBottom w:val="0"/>
                  <w:divBdr>
                    <w:top w:val="none" w:sz="0" w:space="0" w:color="auto"/>
                    <w:left w:val="none" w:sz="0" w:space="0" w:color="auto"/>
                    <w:bottom w:val="none" w:sz="0" w:space="0" w:color="auto"/>
                    <w:right w:val="none" w:sz="0" w:space="0" w:color="auto"/>
                  </w:divBdr>
                </w:div>
                <w:div w:id="1592280323">
                  <w:marLeft w:val="0"/>
                  <w:marRight w:val="0"/>
                  <w:marTop w:val="0"/>
                  <w:marBottom w:val="0"/>
                  <w:divBdr>
                    <w:top w:val="none" w:sz="0" w:space="0" w:color="auto"/>
                    <w:left w:val="none" w:sz="0" w:space="0" w:color="auto"/>
                    <w:bottom w:val="none" w:sz="0" w:space="0" w:color="auto"/>
                    <w:right w:val="none" w:sz="0" w:space="0" w:color="auto"/>
                  </w:divBdr>
                  <w:divsChild>
                    <w:div w:id="1589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81186">
      <w:bodyDiv w:val="1"/>
      <w:marLeft w:val="0"/>
      <w:marRight w:val="0"/>
      <w:marTop w:val="0"/>
      <w:marBottom w:val="0"/>
      <w:divBdr>
        <w:top w:val="none" w:sz="0" w:space="0" w:color="auto"/>
        <w:left w:val="none" w:sz="0" w:space="0" w:color="auto"/>
        <w:bottom w:val="none" w:sz="0" w:space="0" w:color="auto"/>
        <w:right w:val="none" w:sz="0" w:space="0" w:color="auto"/>
      </w:divBdr>
    </w:div>
    <w:div w:id="1183930621">
      <w:bodyDiv w:val="1"/>
      <w:marLeft w:val="0"/>
      <w:marRight w:val="0"/>
      <w:marTop w:val="0"/>
      <w:marBottom w:val="0"/>
      <w:divBdr>
        <w:top w:val="none" w:sz="0" w:space="0" w:color="auto"/>
        <w:left w:val="none" w:sz="0" w:space="0" w:color="auto"/>
        <w:bottom w:val="none" w:sz="0" w:space="0" w:color="auto"/>
        <w:right w:val="none" w:sz="0" w:space="0" w:color="auto"/>
      </w:divBdr>
    </w:div>
    <w:div w:id="1184200136">
      <w:bodyDiv w:val="1"/>
      <w:marLeft w:val="0"/>
      <w:marRight w:val="0"/>
      <w:marTop w:val="0"/>
      <w:marBottom w:val="0"/>
      <w:divBdr>
        <w:top w:val="none" w:sz="0" w:space="0" w:color="auto"/>
        <w:left w:val="none" w:sz="0" w:space="0" w:color="auto"/>
        <w:bottom w:val="none" w:sz="0" w:space="0" w:color="auto"/>
        <w:right w:val="none" w:sz="0" w:space="0" w:color="auto"/>
      </w:divBdr>
    </w:div>
    <w:div w:id="1218276004">
      <w:bodyDiv w:val="1"/>
      <w:marLeft w:val="0"/>
      <w:marRight w:val="0"/>
      <w:marTop w:val="0"/>
      <w:marBottom w:val="0"/>
      <w:divBdr>
        <w:top w:val="none" w:sz="0" w:space="0" w:color="auto"/>
        <w:left w:val="none" w:sz="0" w:space="0" w:color="auto"/>
        <w:bottom w:val="none" w:sz="0" w:space="0" w:color="auto"/>
        <w:right w:val="none" w:sz="0" w:space="0" w:color="auto"/>
      </w:divBdr>
    </w:div>
    <w:div w:id="1236359469">
      <w:bodyDiv w:val="1"/>
      <w:marLeft w:val="0"/>
      <w:marRight w:val="0"/>
      <w:marTop w:val="0"/>
      <w:marBottom w:val="0"/>
      <w:divBdr>
        <w:top w:val="none" w:sz="0" w:space="0" w:color="auto"/>
        <w:left w:val="none" w:sz="0" w:space="0" w:color="auto"/>
        <w:bottom w:val="none" w:sz="0" w:space="0" w:color="auto"/>
        <w:right w:val="none" w:sz="0" w:space="0" w:color="auto"/>
      </w:divBdr>
    </w:div>
    <w:div w:id="1266574317">
      <w:bodyDiv w:val="1"/>
      <w:marLeft w:val="0"/>
      <w:marRight w:val="0"/>
      <w:marTop w:val="0"/>
      <w:marBottom w:val="0"/>
      <w:divBdr>
        <w:top w:val="none" w:sz="0" w:space="0" w:color="auto"/>
        <w:left w:val="none" w:sz="0" w:space="0" w:color="auto"/>
        <w:bottom w:val="none" w:sz="0" w:space="0" w:color="auto"/>
        <w:right w:val="none" w:sz="0" w:space="0" w:color="auto"/>
      </w:divBdr>
    </w:div>
    <w:div w:id="1306739291">
      <w:bodyDiv w:val="1"/>
      <w:marLeft w:val="0"/>
      <w:marRight w:val="0"/>
      <w:marTop w:val="0"/>
      <w:marBottom w:val="0"/>
      <w:divBdr>
        <w:top w:val="none" w:sz="0" w:space="0" w:color="auto"/>
        <w:left w:val="none" w:sz="0" w:space="0" w:color="auto"/>
        <w:bottom w:val="none" w:sz="0" w:space="0" w:color="auto"/>
        <w:right w:val="none" w:sz="0" w:space="0" w:color="auto"/>
      </w:divBdr>
    </w:div>
    <w:div w:id="1324048145">
      <w:bodyDiv w:val="1"/>
      <w:marLeft w:val="0"/>
      <w:marRight w:val="0"/>
      <w:marTop w:val="0"/>
      <w:marBottom w:val="0"/>
      <w:divBdr>
        <w:top w:val="none" w:sz="0" w:space="0" w:color="auto"/>
        <w:left w:val="none" w:sz="0" w:space="0" w:color="auto"/>
        <w:bottom w:val="none" w:sz="0" w:space="0" w:color="auto"/>
        <w:right w:val="none" w:sz="0" w:space="0" w:color="auto"/>
      </w:divBdr>
    </w:div>
    <w:div w:id="1342974945">
      <w:bodyDiv w:val="1"/>
      <w:marLeft w:val="0"/>
      <w:marRight w:val="0"/>
      <w:marTop w:val="0"/>
      <w:marBottom w:val="0"/>
      <w:divBdr>
        <w:top w:val="none" w:sz="0" w:space="0" w:color="auto"/>
        <w:left w:val="none" w:sz="0" w:space="0" w:color="auto"/>
        <w:bottom w:val="none" w:sz="0" w:space="0" w:color="auto"/>
        <w:right w:val="none" w:sz="0" w:space="0" w:color="auto"/>
      </w:divBdr>
    </w:div>
    <w:div w:id="1412964397">
      <w:bodyDiv w:val="1"/>
      <w:marLeft w:val="0"/>
      <w:marRight w:val="0"/>
      <w:marTop w:val="0"/>
      <w:marBottom w:val="0"/>
      <w:divBdr>
        <w:top w:val="none" w:sz="0" w:space="0" w:color="auto"/>
        <w:left w:val="none" w:sz="0" w:space="0" w:color="auto"/>
        <w:bottom w:val="none" w:sz="0" w:space="0" w:color="auto"/>
        <w:right w:val="none" w:sz="0" w:space="0" w:color="auto"/>
      </w:divBdr>
    </w:div>
    <w:div w:id="1451434972">
      <w:bodyDiv w:val="1"/>
      <w:marLeft w:val="0"/>
      <w:marRight w:val="0"/>
      <w:marTop w:val="0"/>
      <w:marBottom w:val="0"/>
      <w:divBdr>
        <w:top w:val="none" w:sz="0" w:space="0" w:color="auto"/>
        <w:left w:val="none" w:sz="0" w:space="0" w:color="auto"/>
        <w:bottom w:val="none" w:sz="0" w:space="0" w:color="auto"/>
        <w:right w:val="none" w:sz="0" w:space="0" w:color="auto"/>
      </w:divBdr>
    </w:div>
    <w:div w:id="1464808082">
      <w:bodyDiv w:val="1"/>
      <w:marLeft w:val="0"/>
      <w:marRight w:val="0"/>
      <w:marTop w:val="0"/>
      <w:marBottom w:val="0"/>
      <w:divBdr>
        <w:top w:val="none" w:sz="0" w:space="0" w:color="auto"/>
        <w:left w:val="none" w:sz="0" w:space="0" w:color="auto"/>
        <w:bottom w:val="none" w:sz="0" w:space="0" w:color="auto"/>
        <w:right w:val="none" w:sz="0" w:space="0" w:color="auto"/>
      </w:divBdr>
    </w:div>
    <w:div w:id="1470905566">
      <w:bodyDiv w:val="1"/>
      <w:marLeft w:val="0"/>
      <w:marRight w:val="0"/>
      <w:marTop w:val="0"/>
      <w:marBottom w:val="0"/>
      <w:divBdr>
        <w:top w:val="none" w:sz="0" w:space="0" w:color="auto"/>
        <w:left w:val="none" w:sz="0" w:space="0" w:color="auto"/>
        <w:bottom w:val="none" w:sz="0" w:space="0" w:color="auto"/>
        <w:right w:val="none" w:sz="0" w:space="0" w:color="auto"/>
      </w:divBdr>
    </w:div>
    <w:div w:id="1480075865">
      <w:bodyDiv w:val="1"/>
      <w:marLeft w:val="0"/>
      <w:marRight w:val="0"/>
      <w:marTop w:val="0"/>
      <w:marBottom w:val="0"/>
      <w:divBdr>
        <w:top w:val="none" w:sz="0" w:space="0" w:color="auto"/>
        <w:left w:val="none" w:sz="0" w:space="0" w:color="auto"/>
        <w:bottom w:val="none" w:sz="0" w:space="0" w:color="auto"/>
        <w:right w:val="none" w:sz="0" w:space="0" w:color="auto"/>
      </w:divBdr>
    </w:div>
    <w:div w:id="1521165826">
      <w:bodyDiv w:val="1"/>
      <w:marLeft w:val="0"/>
      <w:marRight w:val="0"/>
      <w:marTop w:val="0"/>
      <w:marBottom w:val="0"/>
      <w:divBdr>
        <w:top w:val="none" w:sz="0" w:space="0" w:color="auto"/>
        <w:left w:val="none" w:sz="0" w:space="0" w:color="auto"/>
        <w:bottom w:val="none" w:sz="0" w:space="0" w:color="auto"/>
        <w:right w:val="none" w:sz="0" w:space="0" w:color="auto"/>
      </w:divBdr>
    </w:div>
    <w:div w:id="1522158995">
      <w:bodyDiv w:val="1"/>
      <w:marLeft w:val="0"/>
      <w:marRight w:val="0"/>
      <w:marTop w:val="0"/>
      <w:marBottom w:val="0"/>
      <w:divBdr>
        <w:top w:val="none" w:sz="0" w:space="0" w:color="auto"/>
        <w:left w:val="none" w:sz="0" w:space="0" w:color="auto"/>
        <w:bottom w:val="none" w:sz="0" w:space="0" w:color="auto"/>
        <w:right w:val="none" w:sz="0" w:space="0" w:color="auto"/>
      </w:divBdr>
    </w:div>
    <w:div w:id="1641685296">
      <w:bodyDiv w:val="1"/>
      <w:marLeft w:val="0"/>
      <w:marRight w:val="0"/>
      <w:marTop w:val="0"/>
      <w:marBottom w:val="0"/>
      <w:divBdr>
        <w:top w:val="none" w:sz="0" w:space="0" w:color="auto"/>
        <w:left w:val="none" w:sz="0" w:space="0" w:color="auto"/>
        <w:bottom w:val="none" w:sz="0" w:space="0" w:color="auto"/>
        <w:right w:val="none" w:sz="0" w:space="0" w:color="auto"/>
      </w:divBdr>
    </w:div>
    <w:div w:id="1691640492">
      <w:bodyDiv w:val="1"/>
      <w:marLeft w:val="0"/>
      <w:marRight w:val="0"/>
      <w:marTop w:val="0"/>
      <w:marBottom w:val="0"/>
      <w:divBdr>
        <w:top w:val="none" w:sz="0" w:space="0" w:color="auto"/>
        <w:left w:val="none" w:sz="0" w:space="0" w:color="auto"/>
        <w:bottom w:val="none" w:sz="0" w:space="0" w:color="auto"/>
        <w:right w:val="none" w:sz="0" w:space="0" w:color="auto"/>
      </w:divBdr>
    </w:div>
    <w:div w:id="1694648154">
      <w:bodyDiv w:val="1"/>
      <w:marLeft w:val="0"/>
      <w:marRight w:val="0"/>
      <w:marTop w:val="0"/>
      <w:marBottom w:val="0"/>
      <w:divBdr>
        <w:top w:val="none" w:sz="0" w:space="0" w:color="auto"/>
        <w:left w:val="none" w:sz="0" w:space="0" w:color="auto"/>
        <w:bottom w:val="none" w:sz="0" w:space="0" w:color="auto"/>
        <w:right w:val="none" w:sz="0" w:space="0" w:color="auto"/>
      </w:divBdr>
    </w:div>
    <w:div w:id="1704209536">
      <w:bodyDiv w:val="1"/>
      <w:marLeft w:val="0"/>
      <w:marRight w:val="0"/>
      <w:marTop w:val="0"/>
      <w:marBottom w:val="0"/>
      <w:divBdr>
        <w:top w:val="none" w:sz="0" w:space="0" w:color="auto"/>
        <w:left w:val="none" w:sz="0" w:space="0" w:color="auto"/>
        <w:bottom w:val="none" w:sz="0" w:space="0" w:color="auto"/>
        <w:right w:val="none" w:sz="0" w:space="0" w:color="auto"/>
      </w:divBdr>
    </w:div>
    <w:div w:id="1718235055">
      <w:bodyDiv w:val="1"/>
      <w:marLeft w:val="0"/>
      <w:marRight w:val="0"/>
      <w:marTop w:val="0"/>
      <w:marBottom w:val="0"/>
      <w:divBdr>
        <w:top w:val="none" w:sz="0" w:space="0" w:color="auto"/>
        <w:left w:val="none" w:sz="0" w:space="0" w:color="auto"/>
        <w:bottom w:val="none" w:sz="0" w:space="0" w:color="auto"/>
        <w:right w:val="none" w:sz="0" w:space="0" w:color="auto"/>
      </w:divBdr>
    </w:div>
    <w:div w:id="1775442936">
      <w:bodyDiv w:val="1"/>
      <w:marLeft w:val="0"/>
      <w:marRight w:val="0"/>
      <w:marTop w:val="0"/>
      <w:marBottom w:val="0"/>
      <w:divBdr>
        <w:top w:val="none" w:sz="0" w:space="0" w:color="auto"/>
        <w:left w:val="none" w:sz="0" w:space="0" w:color="auto"/>
        <w:bottom w:val="none" w:sz="0" w:space="0" w:color="auto"/>
        <w:right w:val="none" w:sz="0" w:space="0" w:color="auto"/>
      </w:divBdr>
    </w:div>
    <w:div w:id="1839228424">
      <w:bodyDiv w:val="1"/>
      <w:marLeft w:val="0"/>
      <w:marRight w:val="0"/>
      <w:marTop w:val="0"/>
      <w:marBottom w:val="0"/>
      <w:divBdr>
        <w:top w:val="none" w:sz="0" w:space="0" w:color="auto"/>
        <w:left w:val="none" w:sz="0" w:space="0" w:color="auto"/>
        <w:bottom w:val="none" w:sz="0" w:space="0" w:color="auto"/>
        <w:right w:val="none" w:sz="0" w:space="0" w:color="auto"/>
      </w:divBdr>
    </w:div>
    <w:div w:id="1839341666">
      <w:bodyDiv w:val="1"/>
      <w:marLeft w:val="0"/>
      <w:marRight w:val="0"/>
      <w:marTop w:val="0"/>
      <w:marBottom w:val="0"/>
      <w:divBdr>
        <w:top w:val="none" w:sz="0" w:space="0" w:color="auto"/>
        <w:left w:val="none" w:sz="0" w:space="0" w:color="auto"/>
        <w:bottom w:val="none" w:sz="0" w:space="0" w:color="auto"/>
        <w:right w:val="none" w:sz="0" w:space="0" w:color="auto"/>
      </w:divBdr>
    </w:div>
    <w:div w:id="1847477064">
      <w:bodyDiv w:val="1"/>
      <w:marLeft w:val="0"/>
      <w:marRight w:val="0"/>
      <w:marTop w:val="0"/>
      <w:marBottom w:val="0"/>
      <w:divBdr>
        <w:top w:val="none" w:sz="0" w:space="0" w:color="auto"/>
        <w:left w:val="none" w:sz="0" w:space="0" w:color="auto"/>
        <w:bottom w:val="none" w:sz="0" w:space="0" w:color="auto"/>
        <w:right w:val="none" w:sz="0" w:space="0" w:color="auto"/>
      </w:divBdr>
    </w:div>
    <w:div w:id="1881939063">
      <w:bodyDiv w:val="1"/>
      <w:marLeft w:val="0"/>
      <w:marRight w:val="0"/>
      <w:marTop w:val="0"/>
      <w:marBottom w:val="0"/>
      <w:divBdr>
        <w:top w:val="none" w:sz="0" w:space="0" w:color="auto"/>
        <w:left w:val="none" w:sz="0" w:space="0" w:color="auto"/>
        <w:bottom w:val="none" w:sz="0" w:space="0" w:color="auto"/>
        <w:right w:val="none" w:sz="0" w:space="0" w:color="auto"/>
      </w:divBdr>
    </w:div>
    <w:div w:id="1892111039">
      <w:bodyDiv w:val="1"/>
      <w:marLeft w:val="0"/>
      <w:marRight w:val="0"/>
      <w:marTop w:val="0"/>
      <w:marBottom w:val="0"/>
      <w:divBdr>
        <w:top w:val="none" w:sz="0" w:space="0" w:color="auto"/>
        <w:left w:val="none" w:sz="0" w:space="0" w:color="auto"/>
        <w:bottom w:val="none" w:sz="0" w:space="0" w:color="auto"/>
        <w:right w:val="none" w:sz="0" w:space="0" w:color="auto"/>
      </w:divBdr>
    </w:div>
    <w:div w:id="1961299308">
      <w:bodyDiv w:val="1"/>
      <w:marLeft w:val="0"/>
      <w:marRight w:val="0"/>
      <w:marTop w:val="0"/>
      <w:marBottom w:val="0"/>
      <w:divBdr>
        <w:top w:val="none" w:sz="0" w:space="0" w:color="auto"/>
        <w:left w:val="none" w:sz="0" w:space="0" w:color="auto"/>
        <w:bottom w:val="none" w:sz="0" w:space="0" w:color="auto"/>
        <w:right w:val="none" w:sz="0" w:space="0" w:color="auto"/>
      </w:divBdr>
    </w:div>
    <w:div w:id="1963337264">
      <w:bodyDiv w:val="1"/>
      <w:marLeft w:val="0"/>
      <w:marRight w:val="0"/>
      <w:marTop w:val="0"/>
      <w:marBottom w:val="0"/>
      <w:divBdr>
        <w:top w:val="none" w:sz="0" w:space="0" w:color="auto"/>
        <w:left w:val="none" w:sz="0" w:space="0" w:color="auto"/>
        <w:bottom w:val="none" w:sz="0" w:space="0" w:color="auto"/>
        <w:right w:val="none" w:sz="0" w:space="0" w:color="auto"/>
      </w:divBdr>
    </w:div>
    <w:div w:id="1967196394">
      <w:bodyDiv w:val="1"/>
      <w:marLeft w:val="0"/>
      <w:marRight w:val="0"/>
      <w:marTop w:val="0"/>
      <w:marBottom w:val="0"/>
      <w:divBdr>
        <w:top w:val="none" w:sz="0" w:space="0" w:color="auto"/>
        <w:left w:val="none" w:sz="0" w:space="0" w:color="auto"/>
        <w:bottom w:val="none" w:sz="0" w:space="0" w:color="auto"/>
        <w:right w:val="none" w:sz="0" w:space="0" w:color="auto"/>
      </w:divBdr>
    </w:div>
    <w:div w:id="1973554445">
      <w:bodyDiv w:val="1"/>
      <w:marLeft w:val="0"/>
      <w:marRight w:val="0"/>
      <w:marTop w:val="0"/>
      <w:marBottom w:val="0"/>
      <w:divBdr>
        <w:top w:val="none" w:sz="0" w:space="0" w:color="auto"/>
        <w:left w:val="none" w:sz="0" w:space="0" w:color="auto"/>
        <w:bottom w:val="none" w:sz="0" w:space="0" w:color="auto"/>
        <w:right w:val="none" w:sz="0" w:space="0" w:color="auto"/>
      </w:divBdr>
    </w:div>
    <w:div w:id="1994336450">
      <w:bodyDiv w:val="1"/>
      <w:marLeft w:val="0"/>
      <w:marRight w:val="0"/>
      <w:marTop w:val="0"/>
      <w:marBottom w:val="0"/>
      <w:divBdr>
        <w:top w:val="none" w:sz="0" w:space="0" w:color="auto"/>
        <w:left w:val="none" w:sz="0" w:space="0" w:color="auto"/>
        <w:bottom w:val="none" w:sz="0" w:space="0" w:color="auto"/>
        <w:right w:val="none" w:sz="0" w:space="0" w:color="auto"/>
      </w:divBdr>
    </w:div>
    <w:div w:id="1999381325">
      <w:bodyDiv w:val="1"/>
      <w:marLeft w:val="0"/>
      <w:marRight w:val="0"/>
      <w:marTop w:val="0"/>
      <w:marBottom w:val="0"/>
      <w:divBdr>
        <w:top w:val="none" w:sz="0" w:space="0" w:color="auto"/>
        <w:left w:val="none" w:sz="0" w:space="0" w:color="auto"/>
        <w:bottom w:val="none" w:sz="0" w:space="0" w:color="auto"/>
        <w:right w:val="none" w:sz="0" w:space="0" w:color="auto"/>
      </w:divBdr>
    </w:div>
    <w:div w:id="2000572977">
      <w:bodyDiv w:val="1"/>
      <w:marLeft w:val="0"/>
      <w:marRight w:val="0"/>
      <w:marTop w:val="0"/>
      <w:marBottom w:val="0"/>
      <w:divBdr>
        <w:top w:val="none" w:sz="0" w:space="0" w:color="auto"/>
        <w:left w:val="none" w:sz="0" w:space="0" w:color="auto"/>
        <w:bottom w:val="none" w:sz="0" w:space="0" w:color="auto"/>
        <w:right w:val="none" w:sz="0" w:space="0" w:color="auto"/>
      </w:divBdr>
    </w:div>
    <w:div w:id="2017532769">
      <w:bodyDiv w:val="1"/>
      <w:marLeft w:val="0"/>
      <w:marRight w:val="0"/>
      <w:marTop w:val="0"/>
      <w:marBottom w:val="0"/>
      <w:divBdr>
        <w:top w:val="none" w:sz="0" w:space="0" w:color="auto"/>
        <w:left w:val="none" w:sz="0" w:space="0" w:color="auto"/>
        <w:bottom w:val="none" w:sz="0" w:space="0" w:color="auto"/>
        <w:right w:val="none" w:sz="0" w:space="0" w:color="auto"/>
      </w:divBdr>
    </w:div>
    <w:div w:id="203033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primis.phmsa.dot.gov/comm/FactSheets/FSPumpStations.htm" TargetMode="External"/><Relationship Id="rId13" Type="http://schemas.openxmlformats.org/officeDocument/2006/relationships/hyperlink" Target="http://setxind.com/midstream/compressor-stations-what-how-why/" TargetMode="External"/><Relationship Id="rId18" Type="http://schemas.openxmlformats.org/officeDocument/2006/relationships/hyperlink" Target="https://www.ecfr.gov/cgi-bin/retrieveECFR?gp=&amp;SID=3a6f6e148829b7518a5e0c316dc8e5a3&amp;mc=true&amp;n=pt40.8.60&amp;r=PART&amp;ty=HTML" TargetMode="External"/><Relationship Id="rId26" Type="http://schemas.openxmlformats.org/officeDocument/2006/relationships/hyperlink" Target="https://www.epa.gov/stationary-sources-air-pollution/portland-cement-manufacturing-industry-national-emission-standards" TargetMode="External"/><Relationship Id="rId3" Type="http://schemas.openxmlformats.org/officeDocument/2006/relationships/hyperlink" Target="https://www.epa.gov/air-emissions-inventories/2014-national-emissions-inventory-nei-data" TargetMode="External"/><Relationship Id="rId21" Type="http://schemas.openxmlformats.org/officeDocument/2006/relationships/hyperlink" Target="https://www3.epa.gov/ttncatc1/dir1/cement_updt_1107.pdf" TargetMode="External"/><Relationship Id="rId7" Type="http://schemas.openxmlformats.org/officeDocument/2006/relationships/hyperlink" Target="https://primis.phmsa.dot.gov/comm/FactSheets/FSPumpStations.htm" TargetMode="External"/><Relationship Id="rId12" Type="http://schemas.openxmlformats.org/officeDocument/2006/relationships/hyperlink" Target="http://setxind.com/midstream/compressor-stations-what-how-why/" TargetMode="External"/><Relationship Id="rId17" Type="http://schemas.openxmlformats.org/officeDocument/2006/relationships/hyperlink" Target="https://www.epa.gov/sites/production/files/2016-10/documents/2016-ctg-oil-and-gas.pdf" TargetMode="External"/><Relationship Id="rId25" Type="http://schemas.openxmlformats.org/officeDocument/2006/relationships/hyperlink" Target="https://www.epa.gov/enforcement/cement-manufacturing-enforcement-initiative" TargetMode="External"/><Relationship Id="rId2" Type="http://schemas.openxmlformats.org/officeDocument/2006/relationships/hyperlink" Target="https://www.epa.gov/sites/production/files/2015-10/documents/goodneighborprovision2008naaqs.pdf" TargetMode="External"/><Relationship Id="rId16" Type="http://schemas.openxmlformats.org/officeDocument/2006/relationships/hyperlink" Target="https://www.ecfr.gov/cgi-bin/retrieveECFR?gp=&amp;SID=3a6f6e148829b7518a5e0c316dc8e5a3&amp;mc=true&amp;n=pt40.8.60&amp;r=PART&amp;ty=HTML" TargetMode="External"/><Relationship Id="rId20" Type="http://schemas.openxmlformats.org/officeDocument/2006/relationships/hyperlink" Target="http://www.intechopen.com/books/alternative-fuel/alternative-fuels-in-cement-manufacturing" TargetMode="External"/><Relationship Id="rId1" Type="http://schemas.openxmlformats.org/officeDocument/2006/relationships/hyperlink" Target="https://www.epa.gov/sites/production/files/2015-10/documents/goodneighborprovision2008naaqs.pdf" TargetMode="External"/><Relationship Id="rId6" Type="http://schemas.openxmlformats.org/officeDocument/2006/relationships/hyperlink" Target="https://www.epa.gov/air-emissions-inventories/2014-national-emissions-inventory-nei-data" TargetMode="External"/><Relationship Id="rId11" Type="http://schemas.openxmlformats.org/officeDocument/2006/relationships/hyperlink" Target="http://setxind.com/midstream/compressor-stations-what-how-why/" TargetMode="External"/><Relationship Id="rId24" Type="http://schemas.openxmlformats.org/officeDocument/2006/relationships/hyperlink" Target="https://www3.epa.gov/ttncatc1/dir1/cement_updt_1107.pdf" TargetMode="External"/><Relationship Id="rId5" Type="http://schemas.openxmlformats.org/officeDocument/2006/relationships/hyperlink" Target="https://www.eia.gov/pub/oil_gas/natural_gas/analysis_publications/ngpipeline/index.html" TargetMode="External"/><Relationship Id="rId15" Type="http://schemas.openxmlformats.org/officeDocument/2006/relationships/hyperlink" Target="https://www.gpo.gov/fdsys/pkg/CFR-2014-title40-vol7/pdf/CFR-2014-title40-vol7-part60-subpart%20KKKK-app1.pdf" TargetMode="External"/><Relationship Id="rId23" Type="http://schemas.openxmlformats.org/officeDocument/2006/relationships/hyperlink" Target="https://www3.epa.gov/ttncatc1/dir1/cement_updt_1107.pdf" TargetMode="External"/><Relationship Id="rId28" Type="http://schemas.openxmlformats.org/officeDocument/2006/relationships/hyperlink" Target="http://otcair.org/upload/Documents/Formal%20Actions/RES_06-02_Certain%20Source%20Categories.pdf" TargetMode="External"/><Relationship Id="rId10" Type="http://schemas.openxmlformats.org/officeDocument/2006/relationships/hyperlink" Target="http://setxind.com/midstream/compressor-stations-what-how-why/" TargetMode="External"/><Relationship Id="rId19" Type="http://schemas.openxmlformats.org/officeDocument/2006/relationships/hyperlink" Target="http://m.great-wall.co/solutions/turnkey-plant/cement-production-line.html" TargetMode="External"/><Relationship Id="rId4" Type="http://schemas.openxmlformats.org/officeDocument/2006/relationships/hyperlink" Target="https://www.eia.gov/pub/oil_gas/natural_gas/analysis_publications/ngpipeline/index.html" TargetMode="External"/><Relationship Id="rId9" Type="http://schemas.openxmlformats.org/officeDocument/2006/relationships/hyperlink" Target="http://setxind.com/midstream/compressor-stations-what-how-why/" TargetMode="External"/><Relationship Id="rId14" Type="http://schemas.openxmlformats.org/officeDocument/2006/relationships/hyperlink" Target="https://primis.phmsa.dot.gov/comm/FactSheets/FSPumpStations.htm" TargetMode="External"/><Relationship Id="rId22" Type="http://schemas.openxmlformats.org/officeDocument/2006/relationships/hyperlink" Target="https://www3.epa.gov/ttncatc1/dir1/cement_updt_1107.pdf" TargetMode="External"/><Relationship Id="rId27" Type="http://schemas.openxmlformats.org/officeDocument/2006/relationships/hyperlink" Target="https://www.epa.gov/sites/production/files/2017-05/documents/final_assessment_of_non-egu_nox_emission_controls_cost_of_controls_and_time_for_compliance_final_tsd.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rajan\Dropbox\Control_Measures\Workbook_Report\Control_Measures_Workbook_0622201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rajan\Dropbox\Control_Measures\Workbook_Report\Control_Measures_Workbook_0622201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rajan\Dropbox\Control_Measures\Workbook_Report\Control_Measures_Workbook_081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solidFill>
                  <a:sysClr val="windowText" lastClr="000000"/>
                </a:solidFill>
              </a:rPr>
              <a:t>A.  Top 10 </a:t>
            </a:r>
            <a:r>
              <a:rPr lang="en-US" sz="1000" b="1" baseline="0">
                <a:solidFill>
                  <a:sysClr val="windowText" lastClr="000000"/>
                </a:solidFill>
              </a:rPr>
              <a:t>Non-EGU Stationary Source </a:t>
            </a:r>
            <a:r>
              <a:rPr lang="en-US" sz="1000" b="1" i="0" u="none" strike="noStrike" baseline="0">
                <a:effectLst/>
              </a:rPr>
              <a:t>Categories of NOx Emissions </a:t>
            </a:r>
            <a:r>
              <a:rPr lang="en-US" sz="1000" b="1" baseline="0">
                <a:solidFill>
                  <a:sysClr val="windowText" lastClr="000000"/>
                </a:solidFill>
              </a:rPr>
              <a:t>in </a:t>
            </a:r>
            <a:r>
              <a:rPr lang="en-US" sz="1000" b="1" i="0" u="none" strike="noStrike" baseline="0">
                <a:effectLst/>
              </a:rPr>
              <a:t>OTR States</a:t>
            </a:r>
            <a:endParaRPr lang="en-US" sz="1000" b="1">
              <a:solidFill>
                <a:sysClr val="windowText" lastClr="000000"/>
              </a:solidFill>
            </a:endParaRPr>
          </a:p>
        </c:rich>
      </c:tx>
      <c:layout>
        <c:manualLayout>
          <c:xMode val="edge"/>
          <c:yMode val="edge"/>
          <c:x val="0.15660612987892641"/>
          <c:y val="9.5579499930929755E-3"/>
        </c:manualLayout>
      </c:layout>
      <c:overlay val="0"/>
      <c:spPr>
        <a:noFill/>
        <a:ln>
          <a:noFill/>
        </a:ln>
        <a:effectLst/>
      </c:spPr>
    </c:title>
    <c:autoTitleDeleted val="0"/>
    <c:plotArea>
      <c:layout>
        <c:manualLayout>
          <c:layoutTarget val="inner"/>
          <c:xMode val="edge"/>
          <c:yMode val="edge"/>
          <c:x val="0.43925019819736616"/>
          <c:y val="0.12101118939079986"/>
          <c:w val="0.47965860022629131"/>
          <c:h val="0.73143914905373653"/>
        </c:manualLayout>
      </c:layout>
      <c:barChart>
        <c:barDir val="bar"/>
        <c:grouping val="stacked"/>
        <c:varyColors val="0"/>
        <c:ser>
          <c:idx val="0"/>
          <c:order val="0"/>
          <c:tx>
            <c:strRef>
              <c:f>[Control_Measures_Workbook_06222017.xlsx]OTR_Top10!$B$30</c:f>
              <c:strCache>
                <c:ptCount val="1"/>
                <c:pt idx="0">
                  <c:v>CT</c:v>
                </c:pt>
              </c:strCache>
            </c:strRef>
          </c:tx>
          <c:spPr>
            <a:solidFill>
              <a:schemeClr val="accent1"/>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[Control_Measures_Workbook_06222017.xlsx]OTR_Top10!$B$31:$B$42</c:f>
              <c:numCache>
                <c:formatCode>General</c:formatCode>
                <c:ptCount val="10"/>
                <c:pt idx="0" formatCode="_(* #,##0_);_(* \(#,##0\);_(* &quot;-&quot;??_);_(@_)">
                  <c:v>3093.1476477399997</c:v>
                </c:pt>
                <c:pt idx="2" formatCode="_(* #,##0_);_(* \(#,##0\);_(* &quot;-&quot;??_);_(@_)">
                  <c:v>44.441751799999999</c:v>
                </c:pt>
                <c:pt idx="4" formatCode="_(* #,##0_);_(* \(#,##0\);_(* &quot;-&quot;??_);_(@_)">
                  <c:v>346.66768268000044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9DC2-4852-82C5-B981D5384AD6}"/>
            </c:ext>
          </c:extLst>
        </c:ser>
        <c:ser>
          <c:idx val="1"/>
          <c:order val="1"/>
          <c:tx>
            <c:strRef>
              <c:f>[Control_Measures_Workbook_06222017.xlsx]OTR_Top10!$C$30</c:f>
              <c:strCache>
                <c:ptCount val="1"/>
                <c:pt idx="0">
                  <c:v>DC</c:v>
                </c:pt>
              </c:strCache>
            </c:strRef>
          </c:tx>
          <c:spPr>
            <a:solidFill>
              <a:schemeClr val="accent2"/>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[Control_Measures_Workbook_06222017.xlsx]OTR_Top10!$C$31:$C$42</c:f>
              <c:numCache>
                <c:formatCode>General</c:formatCode>
                <c:ptCount val="10"/>
                <c:pt idx="8" formatCode="_(* #,##0_);_(* \(#,##0\);_(* &quot;-&quot;??_);_(@_)">
                  <c:v>16.3523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9DC2-4852-82C5-B981D5384AD6}"/>
            </c:ext>
          </c:extLst>
        </c:ser>
        <c:ser>
          <c:idx val="2"/>
          <c:order val="2"/>
          <c:tx>
            <c:strRef>
              <c:f>[Control_Measures_Workbook_06222017.xlsx]OTR_Top10!$D$30</c:f>
              <c:strCache>
                <c:ptCount val="1"/>
                <c:pt idx="0">
                  <c:v>DE</c:v>
                </c:pt>
              </c:strCache>
            </c:strRef>
          </c:tx>
          <c:spPr>
            <a:solidFill>
              <a:schemeClr val="accent3"/>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[Control_Measures_Workbook_06222017.xlsx]OTR_Top10!$D$31:$D$42</c:f>
              <c:numCache>
                <c:formatCode>General</c:formatCode>
                <c:ptCount val="10"/>
                <c:pt idx="0" formatCode="_(* #,##0_);_(* \(#,##0\);_(* &quot;-&quot;??_);_(@_)">
                  <c:v>18.62823999999998</c:v>
                </c:pt>
                <c:pt idx="2" formatCode="_(* #,##0_);_(* \(#,##0\);_(* &quot;-&quot;??_);_(@_)">
                  <c:v>1.2128000000000003E-2</c:v>
                </c:pt>
                <c:pt idx="6" formatCode="_(* #,##0_);_(* \(#,##0\);_(* &quot;-&quot;??_);_(@_)">
                  <c:v>1967.6576239999999</c:v>
                </c:pt>
                <c:pt idx="8" formatCode="_(* #,##0_);_(* \(#,##0\);_(* &quot;-&quot;??_);_(@_)">
                  <c:v>0.15444150000000009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9DC2-4852-82C5-B981D5384AD6}"/>
            </c:ext>
          </c:extLst>
        </c:ser>
        <c:ser>
          <c:idx val="3"/>
          <c:order val="3"/>
          <c:tx>
            <c:strRef>
              <c:f>[Control_Measures_Workbook_06222017.xlsx]OTR_Top10!$E$30</c:f>
              <c:strCache>
                <c:ptCount val="1"/>
                <c:pt idx="0">
                  <c:v>MA</c:v>
                </c:pt>
              </c:strCache>
            </c:strRef>
          </c:tx>
          <c:spPr>
            <a:solidFill>
              <a:schemeClr val="accent4"/>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[Control_Measures_Workbook_06222017.xlsx]OTR_Top10!$E$31:$E$42</c:f>
              <c:numCache>
                <c:formatCode>General</c:formatCode>
                <c:ptCount val="10"/>
                <c:pt idx="0" formatCode="_(* #,##0_);_(* \(#,##0\);_(* &quot;-&quot;??_);_(@_)">
                  <c:v>4957.5516000000034</c:v>
                </c:pt>
                <c:pt idx="2" formatCode="_(* #,##0_);_(* \(#,##0\);_(* &quot;-&quot;??_);_(@_)">
                  <c:v>72.428699999999992</c:v>
                </c:pt>
                <c:pt idx="3" formatCode="_(* #,##0_);_(* \(#,##0\);_(* &quot;-&quot;??_);_(@_)">
                  <c:v>212.26359999999988</c:v>
                </c:pt>
                <c:pt idx="4" formatCode="_(* #,##0_);_(* \(#,##0\);_(* &quot;-&quot;??_);_(@_)">
                  <c:v>46.010000000000005</c:v>
                </c:pt>
                <c:pt idx="5" formatCode="_(* #,##0_);_(* \(#,##0\);_(* &quot;-&quot;??_);_(@_)">
                  <c:v>4.1869000000000005</c:v>
                </c:pt>
                <c:pt idx="7" formatCode="_(* #,##0_);_(* \(#,##0\);_(* &quot;-&quot;??_);_(@_)">
                  <c:v>14.42</c:v>
                </c:pt>
                <c:pt idx="8" formatCode="_(* #,##0_);_(* \(#,##0\);_(* &quot;-&quot;??_);_(@_)">
                  <c:v>127.07480000000001</c:v>
                </c:pt>
                <c:pt idx="9" formatCode="_(* #,##0_);_(* \(#,##0\);_(* &quot;-&quot;??_);_(@_)">
                  <c:v>4.5636000000000001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9DC2-4852-82C5-B981D5384AD6}"/>
            </c:ext>
          </c:extLst>
        </c:ser>
        <c:ser>
          <c:idx val="4"/>
          <c:order val="4"/>
          <c:tx>
            <c:strRef>
              <c:f>[Control_Measures_Workbook_06222017.xlsx]OTR_Top10!$F$30</c:f>
              <c:strCache>
                <c:ptCount val="1"/>
                <c:pt idx="0">
                  <c:v>MD</c:v>
                </c:pt>
              </c:strCache>
            </c:strRef>
          </c:tx>
          <c:spPr>
            <a:solidFill>
              <a:schemeClr val="accent5"/>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[Control_Measures_Workbook_06222017.xlsx]OTR_Top10!$F$31:$F$42</c:f>
              <c:numCache>
                <c:formatCode>_(* #,##0_);_(* \(#,##0\);_(* "-"??_);_(@_)</c:formatCode>
                <c:ptCount val="10"/>
                <c:pt idx="0">
                  <c:v>2005.0220259999996</c:v>
                </c:pt>
                <c:pt idx="1">
                  <c:v>4074.8679400000001</c:v>
                </c:pt>
                <c:pt idx="2">
                  <c:v>2685.7788099999989</c:v>
                </c:pt>
                <c:pt idx="4">
                  <c:v>111.57421000000002</c:v>
                </c:pt>
                <c:pt idx="8">
                  <c:v>324.73484000000002</c:v>
                </c:pt>
                <c:pt idx="9">
                  <c:v>13.588620000000001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9DC2-4852-82C5-B981D5384AD6}"/>
            </c:ext>
          </c:extLst>
        </c:ser>
        <c:ser>
          <c:idx val="5"/>
          <c:order val="5"/>
          <c:tx>
            <c:strRef>
              <c:f>[Control_Measures_Workbook_06222017.xlsx]OTR_Top10!$G$30</c:f>
              <c:strCache>
                <c:ptCount val="1"/>
                <c:pt idx="0">
                  <c:v>ME</c:v>
                </c:pt>
              </c:strCache>
            </c:strRef>
          </c:tx>
          <c:spPr>
            <a:solidFill>
              <a:schemeClr val="accent6"/>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[Control_Measures_Workbook_06222017.xlsx]OTR_Top10!$G$31:$G$42</c:f>
              <c:numCache>
                <c:formatCode>_(* #,##0_);_(* \(#,##0\);_(* "-"??_);_(@_)</c:formatCode>
                <c:ptCount val="10"/>
                <c:pt idx="0">
                  <c:v>774.06397519999996</c:v>
                </c:pt>
                <c:pt idx="1">
                  <c:v>1104.81</c:v>
                </c:pt>
                <c:pt idx="2">
                  <c:v>3403.5214340000002</c:v>
                </c:pt>
                <c:pt idx="4">
                  <c:v>32.24580000000001</c:v>
                </c:pt>
                <c:pt idx="7">
                  <c:v>3827.29912599</c:v>
                </c:pt>
                <c:pt idx="9">
                  <c:v>3.3320629999999971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9DC2-4852-82C5-B981D5384AD6}"/>
            </c:ext>
          </c:extLst>
        </c:ser>
        <c:ser>
          <c:idx val="6"/>
          <c:order val="6"/>
          <c:tx>
            <c:strRef>
              <c:f>[Control_Measures_Workbook_06222017.xlsx]OTR_Top10!$H$30</c:f>
              <c:strCache>
                <c:ptCount val="1"/>
                <c:pt idx="0">
                  <c:v>NH</c:v>
                </c:pt>
              </c:strCache>
            </c:strRef>
          </c:tx>
          <c:spPr>
            <a:solidFill>
              <a:schemeClr val="accent1">
                <a:lumMod val="60000"/>
              </a:schemeClr>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[Control_Measures_Workbook_06222017.xlsx]OTR_Top10!$H$31:$H$42</c:f>
              <c:numCache>
                <c:formatCode>General</c:formatCode>
                <c:ptCount val="10"/>
                <c:pt idx="0" formatCode="_(* #,##0_);_(* \(#,##0\);_(* &quot;-&quot;??_);_(@_)">
                  <c:v>429.09975139999995</c:v>
                </c:pt>
                <c:pt idx="2" formatCode="_(* #,##0_);_(* \(#,##0\);_(* &quot;-&quot;??_);_(@_)">
                  <c:v>125.72985850000001</c:v>
                </c:pt>
                <c:pt idx="3" formatCode="_(* #,##0_);_(* \(#,##0\);_(* &quot;-&quot;??_);_(@_)">
                  <c:v>0.69139399999999984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9DC2-4852-82C5-B981D5384AD6}"/>
            </c:ext>
          </c:extLst>
        </c:ser>
        <c:ser>
          <c:idx val="7"/>
          <c:order val="7"/>
          <c:tx>
            <c:strRef>
              <c:f>[Control_Measures_Workbook_06222017.xlsx]OTR_Top10!$I$30</c:f>
              <c:strCache>
                <c:ptCount val="1"/>
                <c:pt idx="0">
                  <c:v>NJ</c:v>
                </c:pt>
              </c:strCache>
            </c:strRef>
          </c:tx>
          <c:spPr>
            <a:solidFill>
              <a:schemeClr val="accent2">
                <a:lumMod val="60000"/>
              </a:schemeClr>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[Control_Measures_Workbook_06222017.xlsx]OTR_Top10!$I$31:$I$42</c:f>
              <c:numCache>
                <c:formatCode>General</c:formatCode>
                <c:ptCount val="10"/>
                <c:pt idx="0" formatCode="_(* #,##0_);_(* \(#,##0\);_(* &quot;-&quot;??_);_(@_)">
                  <c:v>2146.6316999999995</c:v>
                </c:pt>
                <c:pt idx="2" formatCode="_(* #,##0_);_(* \(#,##0\);_(* &quot;-&quot;??_);_(@_)">
                  <c:v>4.3199999999999985</c:v>
                </c:pt>
                <c:pt idx="3" formatCode="_(* #,##0_);_(* \(#,##0\);_(* &quot;-&quot;??_);_(@_)">
                  <c:v>685.29740000000004</c:v>
                </c:pt>
                <c:pt idx="4" formatCode="_(* #,##0_);_(* \(#,##0\);_(* &quot;-&quot;??_);_(@_)">
                  <c:v>269.66499999999991</c:v>
                </c:pt>
                <c:pt idx="5" formatCode="_(* #,##0_);_(* \(#,##0\);_(* &quot;-&quot;??_);_(@_)">
                  <c:v>1.3420000000000001</c:v>
                </c:pt>
                <c:pt idx="6" formatCode="_(* #,##0_);_(* \(#,##0\);_(* &quot;-&quot;??_);_(@_)">
                  <c:v>1543.6332999999997</c:v>
                </c:pt>
                <c:pt idx="7" formatCode="_(* #,##0_);_(* \(#,##0\);_(* &quot;-&quot;??_);_(@_)">
                  <c:v>5.9313000000000029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9DC2-4852-82C5-B981D5384AD6}"/>
            </c:ext>
          </c:extLst>
        </c:ser>
        <c:ser>
          <c:idx val="8"/>
          <c:order val="8"/>
          <c:tx>
            <c:strRef>
              <c:f>[Control_Measures_Workbook_06222017.xlsx]OTR_Top10!$J$30</c:f>
              <c:strCache>
                <c:ptCount val="1"/>
                <c:pt idx="0">
                  <c:v>NY</c:v>
                </c:pt>
              </c:strCache>
            </c:strRef>
          </c:tx>
          <c:spPr>
            <a:solidFill>
              <a:schemeClr val="accent3">
                <a:lumMod val="60000"/>
              </a:schemeClr>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[Control_Measures_Workbook_06222017.xlsx]OTR_Top10!$J$31:$J$42</c:f>
              <c:numCache>
                <c:formatCode>_(* #,##0_);_(* \(#,##0\);_(* "-"??_);_(@_)</c:formatCode>
                <c:ptCount val="10"/>
                <c:pt idx="0">
                  <c:v>4245.9047954499974</c:v>
                </c:pt>
                <c:pt idx="1">
                  <c:v>2464.1816325000013</c:v>
                </c:pt>
                <c:pt idx="2">
                  <c:v>30.633004100000012</c:v>
                </c:pt>
                <c:pt idx="3">
                  <c:v>1797.5396559000008</c:v>
                </c:pt>
                <c:pt idx="4">
                  <c:v>1243.6417890999999</c:v>
                </c:pt>
                <c:pt idx="5">
                  <c:v>263.92954499999985</c:v>
                </c:pt>
                <c:pt idx="7">
                  <c:v>1859.0465590000003</c:v>
                </c:pt>
                <c:pt idx="8">
                  <c:v>1229.890793</c:v>
                </c:pt>
                <c:pt idx="9">
                  <c:v>0.35000000000000014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9DC2-4852-82C5-B981D5384AD6}"/>
            </c:ext>
          </c:extLst>
        </c:ser>
        <c:ser>
          <c:idx val="9"/>
          <c:order val="9"/>
          <c:tx>
            <c:strRef>
              <c:f>[Control_Measures_Workbook_06222017.xlsx]OTR_Top10!$K$30</c:f>
              <c:strCache>
                <c:ptCount val="1"/>
                <c:pt idx="0">
                  <c:v>PA</c:v>
                </c:pt>
              </c:strCache>
            </c:strRef>
          </c:tx>
          <c:spPr>
            <a:solidFill>
              <a:schemeClr val="accent4">
                <a:lumMod val="60000"/>
              </a:schemeClr>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[Control_Measures_Workbook_06222017.xlsx]OTR_Top10!$K$31:$K$42</c:f>
              <c:numCache>
                <c:formatCode>_(* #,##0_);_(* \(#,##0\);_(* "-"??_);_(@_)</c:formatCode>
                <c:ptCount val="10"/>
                <c:pt idx="0">
                  <c:v>4642.888600000003</c:v>
                </c:pt>
                <c:pt idx="1">
                  <c:v>5497.5968000000003</c:v>
                </c:pt>
                <c:pt idx="2">
                  <c:v>4319.0294000000004</c:v>
                </c:pt>
                <c:pt idx="3">
                  <c:v>5899.1424000000006</c:v>
                </c:pt>
                <c:pt idx="4">
                  <c:v>5759.0200000000013</c:v>
                </c:pt>
                <c:pt idx="5">
                  <c:v>7402.373000000006</c:v>
                </c:pt>
                <c:pt idx="6">
                  <c:v>2745.7469999999985</c:v>
                </c:pt>
                <c:pt idx="8">
                  <c:v>1750.2158900000004</c:v>
                </c:pt>
                <c:pt idx="9">
                  <c:v>3121.8709999999996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9-9DC2-4852-82C5-B981D5384AD6}"/>
            </c:ext>
          </c:extLst>
        </c:ser>
        <c:ser>
          <c:idx val="10"/>
          <c:order val="10"/>
          <c:tx>
            <c:strRef>
              <c:f>[Control_Measures_Workbook_06222017.xlsx]OTR_Top10!$L$30</c:f>
              <c:strCache>
                <c:ptCount val="1"/>
                <c:pt idx="0">
                  <c:v>RI</c:v>
                </c:pt>
              </c:strCache>
            </c:strRef>
          </c:tx>
          <c:spPr>
            <a:solidFill>
              <a:schemeClr val="accent5">
                <a:lumMod val="60000"/>
              </a:schemeClr>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[Control_Measures_Workbook_06222017.xlsx]OTR_Top10!$L$31:$L$42</c:f>
              <c:numCache>
                <c:formatCode>_(* #,##0_);_(* \(#,##0\);_(* "-"??_);_(@_)</c:formatCode>
                <c:ptCount val="10"/>
                <c:pt idx="0">
                  <c:v>0.35550000000000015</c:v>
                </c:pt>
                <c:pt idx="1">
                  <c:v>9.9600000000000026</c:v>
                </c:pt>
                <c:pt idx="4">
                  <c:v>44.123500000000014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9DC2-4852-82C5-B981D5384AD6}"/>
            </c:ext>
          </c:extLst>
        </c:ser>
        <c:ser>
          <c:idx val="11"/>
          <c:order val="11"/>
          <c:tx>
            <c:strRef>
              <c:f>[Control_Measures_Workbook_06222017.xlsx]OTR_Top10!$M$30</c:f>
              <c:strCache>
                <c:ptCount val="1"/>
                <c:pt idx="0">
                  <c:v>VT</c:v>
                </c:pt>
              </c:strCache>
            </c:strRef>
          </c:tx>
          <c:spPr>
            <a:solidFill>
              <a:schemeClr val="accent6">
                <a:lumMod val="60000"/>
              </a:schemeClr>
            </a:solidFill>
            <a:ln>
              <a:noFill/>
            </a:ln>
            <a:effectLst/>
          </c:spPr>
          <c:invertIfNegative val="0"/>
          <c:cat>
            <c:strRef>
              <c:f>[Control_Measures_Workbook_06222017.xlsx]OTR_Top10!$A$31:$A$42</c:f>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extLst xmlns:c16r2="http://schemas.microsoft.com/office/drawing/2015/06/chart"/>
            </c:strRef>
          </c:cat>
          <c:val>
            <c:numRef>
              <c:f>[Control_Measures_Workbook_06222017.xlsx]OTR_Top10!$M$31:$M$42</c:f>
              <c:numCache>
                <c:formatCode>General</c:formatCode>
                <c:ptCount val="10"/>
              </c:numCache>
              <c:extLst xmlns:c16r2="http://schemas.microsoft.com/office/drawing/2015/06/chart"/>
            </c:numRef>
          </c:val>
          <c:extLst xmlns:c16r2="http://schemas.microsoft.com/office/drawing/2015/06/chart">
            <c:ext xmlns:c16="http://schemas.microsoft.com/office/drawing/2014/chart" uri="{C3380CC4-5D6E-409C-BE32-E72D297353CC}">
              <c16:uniqueId val="{0000000B-9DC2-4852-82C5-B981D5384AD6}"/>
            </c:ext>
          </c:extLst>
        </c:ser>
        <c:dLbls>
          <c:showLegendKey val="0"/>
          <c:showVal val="0"/>
          <c:showCatName val="0"/>
          <c:showSerName val="0"/>
          <c:showPercent val="0"/>
          <c:showBubbleSize val="0"/>
        </c:dLbls>
        <c:gapWidth val="150"/>
        <c:overlap val="100"/>
        <c:axId val="238160960"/>
        <c:axId val="238161352"/>
        <c:extLst xmlns:c16r2="http://schemas.microsoft.com/office/drawing/2015/06/chart">
          <c:ext xmlns:c15="http://schemas.microsoft.com/office/drawing/2012/chart" uri="{02D57815-91ED-43cb-92C2-25804820EDAC}">
            <c15:filteredBarSeries>
              <c15:ser>
                <c:idx val="12"/>
                <c:order val="12"/>
                <c:tx>
                  <c:strRef>
                    <c:extLst xmlns:c16r2="http://schemas.microsoft.com/office/drawing/2015/06/chart">
                      <c:ext uri="{02D57815-91ED-43cb-92C2-25804820EDAC}">
                        <c15:formulaRef>
                          <c15:sqref>[Control_Measures_Workbook_06222017.xlsx]OTR_Top10!$N$30</c15:sqref>
                        </c15:formulaRef>
                      </c:ext>
                    </c:extLst>
                    <c:strCache>
                      <c:ptCount val="1"/>
                      <c:pt idx="0">
                        <c:v>Grand Total</c:v>
                      </c:pt>
                    </c:strCache>
                  </c:strRef>
                </c:tx>
                <c:spPr>
                  <a:solidFill>
                    <a:schemeClr val="accent1">
                      <a:lumMod val="80000"/>
                      <a:lumOff val="20000"/>
                    </a:schemeClr>
                  </a:solidFill>
                  <a:ln>
                    <a:noFill/>
                  </a:ln>
                  <a:effectLst/>
                </c:spPr>
                <c:invertIfNegative val="0"/>
                <c:cat>
                  <c:strRef>
                    <c:extLst xmlns:c16r2="http://schemas.microsoft.com/office/drawing/2015/06/chart">
                      <c:ext uri="{02D57815-91ED-43cb-92C2-25804820EDAC}">
                        <c15:formulaRef>
                          <c15:sqref>[Control_Measures_Workbook_06222017.xlsx]OTR_Top10!$A$31:$A$42</c15:sqref>
                        </c15:formulaRef>
                      </c:ext>
                    </c:extLst>
                    <c:strCache>
                      <c:ptCount val="10"/>
                      <c:pt idx="0">
                        <c:v>Waste Treatment and Disposal</c:v>
                      </c:pt>
                      <c:pt idx="1">
                        <c:v>Cement Manufacturing</c:v>
                      </c:pt>
                      <c:pt idx="2">
                        <c:v>Paper Mills</c:v>
                      </c:pt>
                      <c:pt idx="3">
                        <c:v>Glass and Glass Product Manufacturing</c:v>
                      </c:pt>
                      <c:pt idx="4">
                        <c:v>Pipeline Transportation of Natural Gas</c:v>
                      </c:pt>
                      <c:pt idx="5">
                        <c:v>Iron and Steel Mills and Ferroalloy Manufacturing</c:v>
                      </c:pt>
                      <c:pt idx="6">
                        <c:v>Petroleum Refineries</c:v>
                      </c:pt>
                      <c:pt idx="7">
                        <c:v>Pulp Mills</c:v>
                      </c:pt>
                      <c:pt idx="8">
                        <c:v>Support Activities for Rail Transportation</c:v>
                      </c:pt>
                      <c:pt idx="9">
                        <c:v>Clay Building Material and Refractories Manufacturing</c:v>
                      </c:pt>
                    </c:strCache>
                  </c:strRef>
                </c:cat>
                <c:val>
                  <c:numRef>
                    <c:extLst xmlns:c16r2="http://schemas.microsoft.com/office/drawing/2015/06/chart">
                      <c:ext uri="{02D57815-91ED-43cb-92C2-25804820EDAC}">
                        <c15:formulaRef>
                          <c15:sqref>[Control_Measures_Workbook_06222017.xlsx]OTR_Top10!$N$31:$N$42</c15:sqref>
                        </c15:formulaRef>
                      </c:ext>
                    </c:extLst>
                    <c:numCache>
                      <c:formatCode>_(* #,##0_);_(* \(#,##0\);_(* "-"??_);_(@_)</c:formatCode>
                      <c:ptCount val="10"/>
                      <c:pt idx="0">
                        <c:v>22313.293835790006</c:v>
                      </c:pt>
                      <c:pt idx="1">
                        <c:v>13151.4163725</c:v>
                      </c:pt>
                      <c:pt idx="2">
                        <c:v>10685.8950864</c:v>
                      </c:pt>
                      <c:pt idx="3">
                        <c:v>8594.9344498999963</c:v>
                      </c:pt>
                      <c:pt idx="4">
                        <c:v>7852.9479817799993</c:v>
                      </c:pt>
                      <c:pt idx="5">
                        <c:v>7671.8314450000062</c:v>
                      </c:pt>
                      <c:pt idx="6">
                        <c:v>6257.0379240000002</c:v>
                      </c:pt>
                      <c:pt idx="7">
                        <c:v>5706.6969849899997</c:v>
                      </c:pt>
                      <c:pt idx="8">
                        <c:v>3448.4230644999998</c:v>
                      </c:pt>
                      <c:pt idx="9">
                        <c:v>3143.7052829999998</c:v>
                      </c:pt>
                    </c:numCache>
                  </c:numRef>
                </c:val>
                <c:extLst xmlns:c16r2="http://schemas.microsoft.com/office/drawing/2015/06/chart">
                  <c:ext xmlns:c16="http://schemas.microsoft.com/office/drawing/2014/chart" uri="{C3380CC4-5D6E-409C-BE32-E72D297353CC}">
                    <c16:uniqueId val="{0000000C-9DC2-4852-82C5-B981D5384AD6}"/>
                  </c:ext>
                </c:extLst>
              </c15:ser>
            </c15:filteredBarSeries>
          </c:ext>
        </c:extLst>
      </c:barChart>
      <c:catAx>
        <c:axId val="238160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8161352"/>
        <c:crosses val="autoZero"/>
        <c:auto val="1"/>
        <c:lblAlgn val="ctr"/>
        <c:lblOffset val="100"/>
        <c:noMultiLvlLbl val="0"/>
      </c:catAx>
      <c:valAx>
        <c:axId val="238161352"/>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8160960"/>
        <c:crosses val="autoZero"/>
        <c:crossBetween val="between"/>
      </c:valAx>
      <c:spPr>
        <a:noFill/>
        <a:ln>
          <a:noFill/>
        </a:ln>
        <a:effectLst/>
      </c:spPr>
    </c:plotArea>
    <c:legend>
      <c:legendPos val="b"/>
      <c:layout>
        <c:manualLayout>
          <c:xMode val="edge"/>
          <c:yMode val="edge"/>
          <c:x val="0.6302314010616572"/>
          <c:y val="0.20760236760528392"/>
          <c:w val="0.31033414092469241"/>
          <c:h val="0.148238233025446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solidFill>
                  <a:sysClr val="windowText" lastClr="000000"/>
                </a:solidFill>
              </a:rPr>
              <a:t>B.  Top 15 Non-EGU</a:t>
            </a:r>
            <a:r>
              <a:rPr lang="en-US" sz="1000" b="1" baseline="0">
                <a:solidFill>
                  <a:sysClr val="windowText" lastClr="000000"/>
                </a:solidFill>
              </a:rPr>
              <a:t> Stationary Source </a:t>
            </a:r>
            <a:r>
              <a:rPr lang="en-US" sz="1000" b="1">
                <a:solidFill>
                  <a:sysClr val="windowText" lastClr="000000"/>
                </a:solidFill>
              </a:rPr>
              <a:t>Categories</a:t>
            </a:r>
            <a:r>
              <a:rPr lang="en-US" sz="1000" b="1" baseline="0">
                <a:solidFill>
                  <a:sysClr val="windowText" lastClr="000000"/>
                </a:solidFill>
              </a:rPr>
              <a:t> of </a:t>
            </a:r>
            <a:r>
              <a:rPr lang="en-US" sz="1000" b="1">
                <a:solidFill>
                  <a:sysClr val="windowText" lastClr="000000"/>
                </a:solidFill>
              </a:rPr>
              <a:t>NOx Emissions </a:t>
            </a:r>
            <a:r>
              <a:rPr lang="en-US" sz="1000" b="1" baseline="0">
                <a:solidFill>
                  <a:sysClr val="windowText" lastClr="000000"/>
                </a:solidFill>
              </a:rPr>
              <a:t>in </a:t>
            </a:r>
            <a:r>
              <a:rPr lang="en-US" sz="1000" b="1" i="0" u="none" strike="noStrike" baseline="0">
                <a:solidFill>
                  <a:sysClr val="windowText" lastClr="000000"/>
                </a:solidFill>
                <a:effectLst/>
              </a:rPr>
              <a:t>CSPAR U &amp; OTR States</a:t>
            </a:r>
            <a:endParaRPr lang="en-US" sz="1000" b="1" baseline="30000">
              <a:solidFill>
                <a:sysClr val="windowText" lastClr="000000"/>
              </a:solidFill>
            </a:endParaRPr>
          </a:p>
        </c:rich>
      </c:tx>
      <c:layout>
        <c:manualLayout>
          <c:xMode val="edge"/>
          <c:yMode val="edge"/>
          <c:x val="0.1220559237963566"/>
          <c:y val="4.9909819436130881E-3"/>
        </c:manualLayout>
      </c:layout>
      <c:overlay val="0"/>
      <c:spPr>
        <a:noFill/>
        <a:ln>
          <a:noFill/>
        </a:ln>
        <a:effectLst/>
      </c:spPr>
    </c:title>
    <c:autoTitleDeleted val="0"/>
    <c:plotArea>
      <c:layout>
        <c:manualLayout>
          <c:layoutTarget val="inner"/>
          <c:xMode val="edge"/>
          <c:yMode val="edge"/>
          <c:x val="0.47952983597870485"/>
          <c:y val="0.13388749568887409"/>
          <c:w val="0.4604347268105683"/>
          <c:h val="0.73906260047115491"/>
        </c:manualLayout>
      </c:layout>
      <c:barChart>
        <c:barDir val="bar"/>
        <c:grouping val="stacked"/>
        <c:varyColors val="0"/>
        <c:ser>
          <c:idx val="30"/>
          <c:order val="30"/>
          <c:tx>
            <c:strRef>
              <c:f>'[Control_Measures_Workbook_06222017.xlsx]OTR-CSA_Top15'!$AF$31</c:f>
              <c:strCache>
                <c:ptCount val="1"/>
                <c:pt idx="0">
                  <c:v>CSAPRU States Not in OTR</c:v>
                </c:pt>
              </c:strCache>
            </c:strRef>
          </c:tx>
          <c:spPr>
            <a:solidFill>
              <a:schemeClr val="accent6"/>
            </a:solidFill>
            <a:ln>
              <a:noFill/>
            </a:ln>
            <a:effectLst/>
          </c:spPr>
          <c:invertIfNegative val="0"/>
          <c:cat>
            <c:strRef>
              <c:f>'[Control_Measures_Workbook_06222017.xlsx]OTR-CSA_Top15'!$A$32:$A$49</c:f>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extLst xmlns:c16r2="http://schemas.microsoft.com/office/drawing/2015/06/chart"/>
            </c:strRef>
          </c:cat>
          <c:val>
            <c:numRef>
              <c:f>'[Control_Measures_Workbook_06222017.xlsx]OTR-CSA_Top15'!$AF$32:$AF$49</c:f>
              <c:numCache>
                <c:formatCode>_(* #,##0_);_(* \(#,##0\);_(* "-"??_);_(@_)</c:formatCode>
                <c:ptCount val="15"/>
                <c:pt idx="0">
                  <c:v>174644.77713711513</c:v>
                </c:pt>
                <c:pt idx="1">
                  <c:v>124630.99512846018</c:v>
                </c:pt>
                <c:pt idx="2">
                  <c:v>69137.78498955477</c:v>
                </c:pt>
                <c:pt idx="3">
                  <c:v>55813.647656752401</c:v>
                </c:pt>
                <c:pt idx="4">
                  <c:v>50367.206762099988</c:v>
                </c:pt>
                <c:pt idx="5">
                  <c:v>37980.502075039993</c:v>
                </c:pt>
                <c:pt idx="6">
                  <c:v>38960.178929879992</c:v>
                </c:pt>
                <c:pt idx="7">
                  <c:v>34692.927283855184</c:v>
                </c:pt>
                <c:pt idx="8">
                  <c:v>37575.676933000002</c:v>
                </c:pt>
                <c:pt idx="9">
                  <c:v>26582.868686700014</c:v>
                </c:pt>
                <c:pt idx="10">
                  <c:v>11533.044463700006</c:v>
                </c:pt>
                <c:pt idx="11">
                  <c:v>28728.787585200022</c:v>
                </c:pt>
                <c:pt idx="12">
                  <c:v>28509.581531</c:v>
                </c:pt>
                <c:pt idx="13">
                  <c:v>24540.040958099984</c:v>
                </c:pt>
                <c:pt idx="14">
                  <c:v>11518.945611350002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40-1CD8-43CE-8F24-D7FF639FD35C}"/>
            </c:ext>
          </c:extLst>
        </c:ser>
        <c:ser>
          <c:idx val="31"/>
          <c:order val="31"/>
          <c:tx>
            <c:strRef>
              <c:f>'[Control_Measures_Workbook_06222017.xlsx]OTR-CSA_Top15'!$AG$31</c:f>
              <c:strCache>
                <c:ptCount val="1"/>
                <c:pt idx="0">
                  <c:v>OTR States</c:v>
                </c:pt>
              </c:strCache>
            </c:strRef>
          </c:tx>
          <c:spPr>
            <a:solidFill>
              <a:srgbClr val="7030A0"/>
            </a:solidFill>
            <a:ln>
              <a:noFill/>
            </a:ln>
            <a:effectLst/>
          </c:spPr>
          <c:invertIfNegative val="0"/>
          <c:cat>
            <c:strRef>
              <c:f>'[Control_Measures_Workbook_06222017.xlsx]OTR-CSA_Top15'!$A$32:$A$49</c:f>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extLst xmlns:c16r2="http://schemas.microsoft.com/office/drawing/2015/06/chart"/>
            </c:strRef>
          </c:cat>
          <c:val>
            <c:numRef>
              <c:f>'[Control_Measures_Workbook_06222017.xlsx]OTR-CSA_Top15'!$AG$32:$AG$49</c:f>
              <c:numCache>
                <c:formatCode>_(* #,##0_);_(* \(#,##0\);_(* "-"??_);_(@_)</c:formatCode>
                <c:ptCount val="15"/>
                <c:pt idx="0">
                  <c:v>7852.9479817799984</c:v>
                </c:pt>
                <c:pt idx="1">
                  <c:v>210.06190000000001</c:v>
                </c:pt>
                <c:pt idx="2">
                  <c:v>13151.4163725</c:v>
                </c:pt>
                <c:pt idx="3">
                  <c:v>6257.0379240000002</c:v>
                </c:pt>
                <c:pt idx="4">
                  <c:v>10685.895086399996</c:v>
                </c:pt>
                <c:pt idx="5">
                  <c:v>7671.8314450000062</c:v>
                </c:pt>
                <c:pt idx="6">
                  <c:v>462.89269050000007</c:v>
                </c:pt>
                <c:pt idx="7">
                  <c:v>3448.4230644999998</c:v>
                </c:pt>
                <c:pt idx="8">
                  <c:v>20.792019999999983</c:v>
                </c:pt>
                <c:pt idx="9">
                  <c:v>8594.9344499000017</c:v>
                </c:pt>
                <c:pt idx="10">
                  <c:v>22313.293835790024</c:v>
                </c:pt>
                <c:pt idx="11">
                  <c:v>1407.5095000000001</c:v>
                </c:pt>
                <c:pt idx="12">
                  <c:v>1044.0604389999994</c:v>
                </c:pt>
                <c:pt idx="13">
                  <c:v>577.77745860000005</c:v>
                </c:pt>
                <c:pt idx="14">
                  <c:v>5706.6969849900024</c:v>
                </c:pt>
              </c:numCache>
              <c:extLst xmlns:c16r2="http://schemas.microsoft.com/office/drawing/2015/06/chart"/>
            </c:numRef>
          </c:val>
          <c:extLst xmlns:c16r2="http://schemas.microsoft.com/office/drawing/2015/06/chart">
            <c:ext xmlns:c16="http://schemas.microsoft.com/office/drawing/2014/chart" uri="{C3380CC4-5D6E-409C-BE32-E72D297353CC}">
              <c16:uniqueId val="{00000041-1CD8-43CE-8F24-D7FF639FD35C}"/>
            </c:ext>
          </c:extLst>
        </c:ser>
        <c:dLbls>
          <c:showLegendKey val="0"/>
          <c:showVal val="0"/>
          <c:showCatName val="0"/>
          <c:showSerName val="0"/>
          <c:showPercent val="0"/>
          <c:showBubbleSize val="0"/>
        </c:dLbls>
        <c:gapWidth val="182"/>
        <c:overlap val="100"/>
        <c:axId val="472451224"/>
        <c:axId val="47245083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'[Control_Measures_Workbook_06222017.xlsx]OTR-CSA_Top15'!$B$31</c15:sqref>
                        </c15:formulaRef>
                      </c:ext>
                    </c:extLst>
                    <c:strCache>
                      <c:ptCount val="1"/>
                      <c:pt idx="0">
                        <c:v>AL</c:v>
                      </c:pt>
                    </c:strCache>
                  </c:strRef>
                </c:tx>
                <c:spPr>
                  <a:solidFill>
                    <a:schemeClr val="accent1"/>
                  </a:solidFill>
                  <a:ln>
                    <a:noFill/>
                  </a:ln>
                  <a:effectLst/>
                </c:spPr>
                <c:invertIfNegative val="0"/>
                <c:cat>
                  <c:strRef>
                    <c:extLst xmlns:c16r2="http://schemas.microsoft.com/office/drawing/2015/06/chart">
                      <c:ex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6r2="http://schemas.microsoft.com/office/drawing/2015/06/chart">
                      <c:ext uri="{02D57815-91ED-43cb-92C2-25804820EDAC}">
                        <c15:formulaRef>
                          <c15:sqref>'[Control_Measures_Workbook_06222017.xlsx]OTR-CSA_Top15'!$B$32:$B$49</c15:sqref>
                        </c15:formulaRef>
                      </c:ext>
                    </c:extLst>
                    <c:numCache>
                      <c:formatCode>_(* #,##0_);_(* \(#,##0\);_(* "-"??_);_(@_)</c:formatCode>
                      <c:ptCount val="15"/>
                      <c:pt idx="0">
                        <c:v>7272.4337999999998</c:v>
                      </c:pt>
                      <c:pt idx="1">
                        <c:v>2725.0157100000029</c:v>
                      </c:pt>
                      <c:pt idx="2">
                        <c:v>8825.0910000000003</c:v>
                      </c:pt>
                      <c:pt idx="3">
                        <c:v>471.27399999999994</c:v>
                      </c:pt>
                      <c:pt idx="4">
                        <c:v>12212.507599999997</c:v>
                      </c:pt>
                      <c:pt idx="5">
                        <c:v>6234.8777899999968</c:v>
                      </c:pt>
                      <c:pt idx="6">
                        <c:v>4259.7860000000001</c:v>
                      </c:pt>
                      <c:pt idx="7">
                        <c:v>1263.4514469799999</c:v>
                      </c:pt>
                      <c:pt idx="9">
                        <c:v>29.200000000000003</c:v>
                      </c:pt>
                      <c:pt idx="10">
                        <c:v>497.91700000000003</c:v>
                      </c:pt>
                      <c:pt idx="11">
                        <c:v>6010.1171999999997</c:v>
                      </c:pt>
                      <c:pt idx="12">
                        <c:v>1484.0613999999996</c:v>
                      </c:pt>
                      <c:pt idx="13">
                        <c:v>765.11</c:v>
                      </c:pt>
                      <c:pt idx="14">
                        <c:v>1314.8999999999999</c:v>
                      </c:pt>
                    </c:numCache>
                  </c:numRef>
                </c:val>
                <c:extLst xmlns:c16r2="http://schemas.microsoft.com/office/drawing/2015/06/chart">
                  <c:ext xmlns:c16="http://schemas.microsoft.com/office/drawing/2014/chart" uri="{C3380CC4-5D6E-409C-BE32-E72D297353CC}">
                    <c16:uniqueId val="{00000000-E262-4122-BFAF-185800B94151}"/>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'[Control_Measures_Workbook_06222017.xlsx]OTR-CSA_Top15'!$C$31</c15:sqref>
                        </c15:formulaRef>
                      </c:ext>
                    </c:extLst>
                    <c:strCache>
                      <c:ptCount val="1"/>
                      <c:pt idx="0">
                        <c:v>AR</c:v>
                      </c:pt>
                    </c:strCache>
                  </c:strRef>
                </c:tx>
                <c:spPr>
                  <a:solidFill>
                    <a:schemeClr val="accent2"/>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'[Control_Measures_Workbook_06222017.xlsx]OTR-CSA_Top15'!$C$32:$C$49</c15:sqref>
                        </c15:formulaRef>
                      </c:ext>
                    </c:extLst>
                    <c:numCache>
                      <c:formatCode>_(* #,##0_);_(* \(#,##0\);_(* "-"??_);_(@_)</c:formatCode>
                      <c:ptCount val="15"/>
                      <c:pt idx="0">
                        <c:v>10160.580585689999</c:v>
                      </c:pt>
                      <c:pt idx="1">
                        <c:v>86.066983799999988</c:v>
                      </c:pt>
                      <c:pt idx="2">
                        <c:v>1568.5855799999999</c:v>
                      </c:pt>
                      <c:pt idx="3">
                        <c:v>152.60352700000001</c:v>
                      </c:pt>
                      <c:pt idx="4">
                        <c:v>1687.9439090000001</c:v>
                      </c:pt>
                      <c:pt idx="5">
                        <c:v>1002.2773465000004</c:v>
                      </c:pt>
                      <c:pt idx="6">
                        <c:v>401.54</c:v>
                      </c:pt>
                      <c:pt idx="7">
                        <c:v>2517.3958899999998</c:v>
                      </c:pt>
                      <c:pt idx="9">
                        <c:v>209.02859999999998</c:v>
                      </c:pt>
                      <c:pt idx="10">
                        <c:v>754.68854900000019</c:v>
                      </c:pt>
                      <c:pt idx="12">
                        <c:v>923.47985999999992</c:v>
                      </c:pt>
                      <c:pt idx="13">
                        <c:v>1363.0755060300003</c:v>
                      </c:pt>
                      <c:pt idx="14">
                        <c:v>4835.4000655999998</c:v>
                      </c:pt>
                    </c:numCache>
                  </c:numRef>
                </c:val>
                <c:extLst xmlns:c15="http://schemas.microsoft.com/office/drawing/2012/chart" xmlns:c16r2="http://schemas.microsoft.com/office/drawing/2015/06/chart">
                  <c:ext xmlns:c16="http://schemas.microsoft.com/office/drawing/2014/chart" uri="{C3380CC4-5D6E-409C-BE32-E72D297353CC}">
                    <c16:uniqueId val="{0000001F-1CD8-43CE-8F24-D7FF639FD35C}"/>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'[Control_Measures_Workbook_06222017.xlsx]OTR-CSA_Top15'!$D$31</c15:sqref>
                        </c15:formulaRef>
                      </c:ext>
                    </c:extLst>
                    <c:strCache>
                      <c:ptCount val="1"/>
                      <c:pt idx="0">
                        <c:v>IA</c:v>
                      </c:pt>
                    </c:strCache>
                  </c:strRef>
                </c:tx>
                <c:spPr>
                  <a:solidFill>
                    <a:schemeClr val="accent3"/>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'[Control_Measures_Workbook_06222017.xlsx]OTR-CSA_Top15'!$D$32:$D$49</c15:sqref>
                        </c15:formulaRef>
                      </c:ext>
                    </c:extLst>
                    <c:numCache>
                      <c:formatCode>General</c:formatCode>
                      <c:ptCount val="15"/>
                      <c:pt idx="0" formatCode="_(* #,##0_);_(* \(#,##0\);_(* &quot;-&quot;??_);_(@_)">
                        <c:v>7378.0517000000009</c:v>
                      </c:pt>
                      <c:pt idx="2" formatCode="_(* #,##0_);_(* \(#,##0\);_(* &quot;-&quot;??_);_(@_)">
                        <c:v>2278.75</c:v>
                      </c:pt>
                      <c:pt idx="4" formatCode="_(* #,##0_);_(* \(#,##0\);_(* &quot;-&quot;??_);_(@_)">
                        <c:v>0.02</c:v>
                      </c:pt>
                      <c:pt idx="5" formatCode="_(* #,##0_);_(* \(#,##0\);_(* &quot;-&quot;??_);_(@_)">
                        <c:v>641.36</c:v>
                      </c:pt>
                      <c:pt idx="6" formatCode="_(* #,##0_);_(* \(#,##0\);_(* &quot;-&quot;??_);_(@_)">
                        <c:v>2808.2179999999994</c:v>
                      </c:pt>
                      <c:pt idx="7" formatCode="_(* #,##0_);_(* \(#,##0\);_(* &quot;-&quot;??_);_(@_)">
                        <c:v>2087.0995399999997</c:v>
                      </c:pt>
                      <c:pt idx="8" formatCode="_(* #,##0_);_(* \(#,##0\);_(* &quot;-&quot;??_);_(@_)">
                        <c:v>863.65</c:v>
                      </c:pt>
                      <c:pt idx="9" formatCode="_(* #,##0_);_(* \(#,##0\);_(* &quot;-&quot;??_);_(@_)">
                        <c:v>1231.932</c:v>
                      </c:pt>
                      <c:pt idx="10" formatCode="_(* #,##0_);_(* \(#,##0\);_(* &quot;-&quot;??_);_(@_)">
                        <c:v>61.472499999999997</c:v>
                      </c:pt>
                      <c:pt idx="11" formatCode="_(* #,##0_);_(* \(#,##0\);_(* &quot;-&quot;??_);_(@_)">
                        <c:v>45.844000000000001</c:v>
                      </c:pt>
                      <c:pt idx="13" formatCode="_(* #,##0_);_(* \(#,##0\);_(* &quot;-&quot;??_);_(@_)">
                        <c:v>22.550000000000004</c:v>
                      </c:pt>
                    </c:numCache>
                  </c:numRef>
                </c:val>
                <c:extLst xmlns:c15="http://schemas.microsoft.com/office/drawing/2012/chart" xmlns:c16r2="http://schemas.microsoft.com/office/drawing/2015/06/chart">
                  <c:ext xmlns:c16="http://schemas.microsoft.com/office/drawing/2014/chart" uri="{C3380CC4-5D6E-409C-BE32-E72D297353CC}">
                    <c16:uniqueId val="{00000020-1CD8-43CE-8F24-D7FF639FD35C}"/>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'[Control_Measures_Workbook_06222017.xlsx]OTR-CSA_Top15'!$E$31</c15:sqref>
                        </c15:formulaRef>
                      </c:ext>
                    </c:extLst>
                    <c:strCache>
                      <c:ptCount val="1"/>
                      <c:pt idx="0">
                        <c:v>IL</c:v>
                      </c:pt>
                    </c:strCache>
                  </c:strRef>
                </c:tx>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'[Control_Measures_Workbook_06222017.xlsx]OTR-CSA_Top15'!$E$32:$E$49</c15:sqref>
                        </c15:formulaRef>
                      </c:ext>
                    </c:extLst>
                    <c:numCache>
                      <c:formatCode>_(* #,##0_);_(* \(#,##0\);_(* "-"??_);_(@_)</c:formatCode>
                      <c:ptCount val="15"/>
                      <c:pt idx="0">
                        <c:v>19194.166602000001</c:v>
                      </c:pt>
                      <c:pt idx="1">
                        <c:v>174.38295400000001</c:v>
                      </c:pt>
                      <c:pt idx="2">
                        <c:v>2001.1549869999999</c:v>
                      </c:pt>
                      <c:pt idx="3">
                        <c:v>6091.4699230000024</c:v>
                      </c:pt>
                      <c:pt idx="4">
                        <c:v>70.778694000000002</c:v>
                      </c:pt>
                      <c:pt idx="5">
                        <c:v>2008.8425600000003</c:v>
                      </c:pt>
                      <c:pt idx="6">
                        <c:v>662.74522300000012</c:v>
                      </c:pt>
                      <c:pt idx="7">
                        <c:v>5000.5972506999979</c:v>
                      </c:pt>
                      <c:pt idx="9">
                        <c:v>3105.2347519999998</c:v>
                      </c:pt>
                      <c:pt idx="10">
                        <c:v>918.76314599999989</c:v>
                      </c:pt>
                      <c:pt idx="12">
                        <c:v>133.06594000000004</c:v>
                      </c:pt>
                      <c:pt idx="13">
                        <c:v>9.0183499999999999</c:v>
                      </c:pt>
                    </c:numCache>
                  </c:numRef>
                </c:val>
                <c:extLst xmlns:c15="http://schemas.microsoft.com/office/drawing/2012/chart" xmlns:c16r2="http://schemas.microsoft.com/office/drawing/2015/06/chart">
                  <c:ext xmlns:c16="http://schemas.microsoft.com/office/drawing/2014/chart" uri="{C3380CC4-5D6E-409C-BE32-E72D297353CC}">
                    <c16:uniqueId val="{00000021-1CD8-43CE-8F24-D7FF639FD35C}"/>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'[Control_Measures_Workbook_06222017.xlsx]OTR-CSA_Top15'!$F$31</c15:sqref>
                        </c15:formulaRef>
                      </c:ext>
                    </c:extLst>
                    <c:strCache>
                      <c:ptCount val="1"/>
                      <c:pt idx="0">
                        <c:v>IN</c:v>
                      </c:pt>
                    </c:strCache>
                  </c:strRef>
                </c:tx>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'[Control_Measures_Workbook_06222017.xlsx]OTR-CSA_Top15'!$F$32:$F$49</c15:sqref>
                        </c15:formulaRef>
                      </c:ext>
                    </c:extLst>
                    <c:numCache>
                      <c:formatCode>General</c:formatCode>
                      <c:ptCount val="15"/>
                      <c:pt idx="0" formatCode="_(* #,##0_);_(* \(#,##0\);_(* &quot;-&quot;??_);_(@_)">
                        <c:v>8051.777770499998</c:v>
                      </c:pt>
                      <c:pt idx="2" formatCode="_(* #,##0_);_(* \(#,##0\);_(* &quot;-&quot;??_);_(@_)">
                        <c:v>4275.2420899999988</c:v>
                      </c:pt>
                      <c:pt idx="3" formatCode="_(* #,##0_);_(* \(#,##0\);_(* &quot;-&quot;??_);_(@_)">
                        <c:v>2074.4568192399993</c:v>
                      </c:pt>
                      <c:pt idx="5" formatCode="_(* #,##0_);_(* \(#,##0\);_(* &quot;-&quot;??_);_(@_)">
                        <c:v>11261.371994939993</c:v>
                      </c:pt>
                      <c:pt idx="6" formatCode="_(* #,##0_);_(* \(#,##0\);_(* &quot;-&quot;??_);_(@_)">
                        <c:v>283.30456512000001</c:v>
                      </c:pt>
                      <c:pt idx="7" formatCode="_(* #,##0_);_(* \(#,##0\);_(* &quot;-&quot;??_);_(@_)">
                        <c:v>1350.8225700000003</c:v>
                      </c:pt>
                      <c:pt idx="9" formatCode="_(* #,##0_);_(* \(#,##0\);_(* &quot;-&quot;??_);_(@_)">
                        <c:v>1532.2450000000001</c:v>
                      </c:pt>
                      <c:pt idx="10" formatCode="_(* #,##0_);_(* \(#,##0\);_(* &quot;-&quot;??_);_(@_)">
                        <c:v>1595.9729399999997</c:v>
                      </c:pt>
                      <c:pt idx="11" formatCode="_(* #,##0_);_(* \(#,##0\);_(* &quot;-&quot;??_);_(@_)">
                        <c:v>2153.9450000000002</c:v>
                      </c:pt>
                      <c:pt idx="12" formatCode="_(* #,##0_);_(* \(#,##0\);_(* &quot;-&quot;??_);_(@_)">
                        <c:v>192.05250000000004</c:v>
                      </c:pt>
                      <c:pt idx="13" formatCode="_(* #,##0_);_(* \(#,##0\);_(* &quot;-&quot;??_);_(@_)">
                        <c:v>151.19999999999999</c:v>
                      </c:pt>
                    </c:numCache>
                  </c:numRef>
                </c:val>
                <c:extLst xmlns:c15="http://schemas.microsoft.com/office/drawing/2012/chart" xmlns:c16r2="http://schemas.microsoft.com/office/drawing/2015/06/chart">
                  <c:ext xmlns:c16="http://schemas.microsoft.com/office/drawing/2014/chart" uri="{C3380CC4-5D6E-409C-BE32-E72D297353CC}">
                    <c16:uniqueId val="{00000022-1CD8-43CE-8F24-D7FF639FD35C}"/>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'[Control_Measures_Workbook_06222017.xlsx]OTR-CSA_Top15'!$G$31</c15:sqref>
                        </c15:formulaRef>
                      </c:ext>
                    </c:extLst>
                    <c:strCache>
                      <c:ptCount val="1"/>
                      <c:pt idx="0">
                        <c:v>KS</c:v>
                      </c:pt>
                    </c:strCache>
                  </c:strRef>
                </c:tx>
                <c:spPr>
                  <a:solidFill>
                    <a:schemeClr val="accent6"/>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'[Control_Measures_Workbook_06222017.xlsx]OTR-CSA_Top15'!$G$32:$G$49</c15:sqref>
                        </c15:formulaRef>
                      </c:ext>
                    </c:extLst>
                    <c:numCache>
                      <c:formatCode>_(* #,##0_);_(* \(#,##0\);_(* "-"??_);_(@_)</c:formatCode>
                      <c:ptCount val="15"/>
                      <c:pt idx="0">
                        <c:v>23161.951874384999</c:v>
                      </c:pt>
                      <c:pt idx="1">
                        <c:v>7163.8641715399972</c:v>
                      </c:pt>
                      <c:pt idx="2">
                        <c:v>2854.6173800000001</c:v>
                      </c:pt>
                      <c:pt idx="3">
                        <c:v>2309.8989360799997</c:v>
                      </c:pt>
                      <c:pt idx="6">
                        <c:v>564.6210092</c:v>
                      </c:pt>
                      <c:pt idx="7">
                        <c:v>2736.7923000000001</c:v>
                      </c:pt>
                      <c:pt idx="8">
                        <c:v>20.720456999999996</c:v>
                      </c:pt>
                      <c:pt idx="9">
                        <c:v>531.965191</c:v>
                      </c:pt>
                      <c:pt idx="10">
                        <c:v>184.84049380000002</c:v>
                      </c:pt>
                      <c:pt idx="12">
                        <c:v>816.19916700000022</c:v>
                      </c:pt>
                      <c:pt idx="13">
                        <c:v>65.94</c:v>
                      </c:pt>
                    </c:numCache>
                  </c:numRef>
                </c:val>
                <c:extLst xmlns:c15="http://schemas.microsoft.com/office/drawing/2012/chart" xmlns:c16r2="http://schemas.microsoft.com/office/drawing/2015/06/chart">
                  <c:ext xmlns:c16="http://schemas.microsoft.com/office/drawing/2014/chart" uri="{C3380CC4-5D6E-409C-BE32-E72D297353CC}">
                    <c16:uniqueId val="{00000023-1CD8-43CE-8F24-D7FF639FD35C}"/>
                  </c:ext>
                </c:extLst>
              </c15:ser>
            </c15:filteredBarSeries>
            <c15:filteredBar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'[Control_Measures_Workbook_06222017.xlsx]OTR-CSA_Top15'!$H$31</c15:sqref>
                        </c15:formulaRef>
                      </c:ext>
                    </c:extLst>
                    <c:strCache>
                      <c:ptCount val="1"/>
                      <c:pt idx="0">
                        <c:v>KY</c:v>
                      </c:pt>
                    </c:strCache>
                  </c:strRef>
                </c:tx>
                <c:spPr>
                  <a:solidFill>
                    <a:schemeClr val="accent1">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'[Control_Measures_Workbook_06222017.xlsx]OTR-CSA_Top15'!$H$32:$H$49</c15:sqref>
                        </c15:formulaRef>
                      </c:ext>
                    </c:extLst>
                    <c:numCache>
                      <c:formatCode>_(* #,##0_);_(* \(#,##0\);_(* "-"??_);_(@_)</c:formatCode>
                      <c:ptCount val="15"/>
                      <c:pt idx="0">
                        <c:v>3637.2634411299987</c:v>
                      </c:pt>
                      <c:pt idx="1">
                        <c:v>997.28627811999957</c:v>
                      </c:pt>
                      <c:pt idx="2">
                        <c:v>1454.12</c:v>
                      </c:pt>
                      <c:pt idx="3">
                        <c:v>1041.0284762699996</c:v>
                      </c:pt>
                      <c:pt idx="4">
                        <c:v>2058.2467837000004</c:v>
                      </c:pt>
                      <c:pt idx="5">
                        <c:v>2725.4005716000006</c:v>
                      </c:pt>
                      <c:pt idx="6">
                        <c:v>672.53409975000034</c:v>
                      </c:pt>
                      <c:pt idx="7">
                        <c:v>911.86201579999999</c:v>
                      </c:pt>
                      <c:pt idx="8">
                        <c:v>1.0089999999999999</c:v>
                      </c:pt>
                      <c:pt idx="9">
                        <c:v>534.64697469999976</c:v>
                      </c:pt>
                      <c:pt idx="10">
                        <c:v>84.599215300000012</c:v>
                      </c:pt>
                      <c:pt idx="11">
                        <c:v>1200.6553876</c:v>
                      </c:pt>
                      <c:pt idx="12">
                        <c:v>191.98852699999998</c:v>
                      </c:pt>
                      <c:pt idx="13">
                        <c:v>20.622536</c:v>
                      </c:pt>
                    </c:numCache>
                  </c:numRef>
                </c:val>
                <c:extLst xmlns:c15="http://schemas.microsoft.com/office/drawing/2012/chart" xmlns:c16r2="http://schemas.microsoft.com/office/drawing/2015/06/chart">
                  <c:ext xmlns:c16="http://schemas.microsoft.com/office/drawing/2014/chart" uri="{C3380CC4-5D6E-409C-BE32-E72D297353CC}">
                    <c16:uniqueId val="{00000024-1CD8-43CE-8F24-D7FF639FD35C}"/>
                  </c:ext>
                </c:extLst>
              </c15:ser>
            </c15:filteredBarSeries>
            <c15:filteredBarSeries>
              <c15:ser>
                <c:idx val="7"/>
                <c:order val="7"/>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'[Control_Measures_Workbook_06222017.xlsx]OTR-CSA_Top15'!$I$31</c15:sqref>
                        </c15:formulaRef>
                      </c:ext>
                    </c:extLst>
                    <c:strCache>
                      <c:ptCount val="1"/>
                      <c:pt idx="0">
                        <c:v>LA</c:v>
                      </c:pt>
                    </c:strCache>
                  </c:strRef>
                </c:tx>
                <c:spPr>
                  <a:solidFill>
                    <a:schemeClr val="accent2">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'[Control_Measures_Workbook_06222017.xlsx]OTR-CSA_Top15'!$I$32:$I$49</c15:sqref>
                        </c15:formulaRef>
                      </c:ext>
                    </c:extLst>
                    <c:numCache>
                      <c:formatCode>_(* #,##0_);_(* \(#,##0\);_(* "-"??_);_(@_)</c:formatCode>
                      <c:ptCount val="15"/>
                      <c:pt idx="0">
                        <c:v>20029.766483999992</c:v>
                      </c:pt>
                      <c:pt idx="1">
                        <c:v>13150.770336000047</c:v>
                      </c:pt>
                      <c:pt idx="3">
                        <c:v>14245.016418000001</c:v>
                      </c:pt>
                      <c:pt idx="4">
                        <c:v>4814.2162999999982</c:v>
                      </c:pt>
                      <c:pt idx="5">
                        <c:v>87.454809999999995</c:v>
                      </c:pt>
                      <c:pt idx="6">
                        <c:v>8804.3280849999937</c:v>
                      </c:pt>
                      <c:pt idx="7">
                        <c:v>1265.8433399999997</c:v>
                      </c:pt>
                      <c:pt idx="8">
                        <c:v>10545.701276000003</c:v>
                      </c:pt>
                      <c:pt idx="9">
                        <c:v>762.56</c:v>
                      </c:pt>
                      <c:pt idx="10">
                        <c:v>97.01156600000003</c:v>
                      </c:pt>
                      <c:pt idx="12">
                        <c:v>13918.582182000004</c:v>
                      </c:pt>
                      <c:pt idx="13">
                        <c:v>6019.2904519999993</c:v>
                      </c:pt>
                    </c:numCache>
                  </c:numRef>
                </c:val>
                <c:extLst xmlns:c15="http://schemas.microsoft.com/office/drawing/2012/chart" xmlns:c16r2="http://schemas.microsoft.com/office/drawing/2015/06/chart">
                  <c:ext xmlns:c16="http://schemas.microsoft.com/office/drawing/2014/chart" uri="{C3380CC4-5D6E-409C-BE32-E72D297353CC}">
                    <c16:uniqueId val="{00000025-1CD8-43CE-8F24-D7FF639FD35C}"/>
                  </c:ext>
                </c:extLst>
              </c15:ser>
            </c15:filteredBarSeries>
            <c15:filteredBarSeries>
              <c15:ser>
                <c:idx val="8"/>
                <c:order val="8"/>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'[Control_Measures_Workbook_06222017.xlsx]OTR-CSA_Top15'!$J$31</c15:sqref>
                        </c15:formulaRef>
                      </c:ext>
                    </c:extLst>
                    <c:strCache>
                      <c:ptCount val="1"/>
                      <c:pt idx="0">
                        <c:v>MI</c:v>
                      </c:pt>
                    </c:strCache>
                  </c:strRef>
                </c:tx>
                <c:spPr>
                  <a:solidFill>
                    <a:schemeClr val="accent3">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'[Control_Measures_Workbook_06222017.xlsx]OTR-CSA_Top15'!$J$32:$J$49</c15:sqref>
                        </c15:formulaRef>
                      </c:ext>
                    </c:extLst>
                    <c:numCache>
                      <c:formatCode>_(* #,##0_);_(* \(#,##0\);_(* "-"??_);_(@_)</c:formatCode>
                      <c:ptCount val="15"/>
                      <c:pt idx="0">
                        <c:v>5309.0725099999991</c:v>
                      </c:pt>
                      <c:pt idx="1">
                        <c:v>5254.5664249999945</c:v>
                      </c:pt>
                      <c:pt idx="2">
                        <c:v>7082.7922599999984</c:v>
                      </c:pt>
                      <c:pt idx="3">
                        <c:v>430.46261499999991</c:v>
                      </c:pt>
                      <c:pt idx="4">
                        <c:v>5178.8779599999989</c:v>
                      </c:pt>
                      <c:pt idx="5">
                        <c:v>2966.5310400000008</c:v>
                      </c:pt>
                      <c:pt idx="6">
                        <c:v>575.07339999999976</c:v>
                      </c:pt>
                      <c:pt idx="7">
                        <c:v>901.59934000000021</c:v>
                      </c:pt>
                      <c:pt idx="9">
                        <c:v>1887.9580000000003</c:v>
                      </c:pt>
                      <c:pt idx="10">
                        <c:v>2324.1896349999997</c:v>
                      </c:pt>
                      <c:pt idx="11">
                        <c:v>875.35</c:v>
                      </c:pt>
                      <c:pt idx="12">
                        <c:v>65.445065</c:v>
                      </c:pt>
                      <c:pt idx="13">
                        <c:v>314.12251999999995</c:v>
                      </c:pt>
                      <c:pt idx="14">
                        <c:v>15.664999999999999</c:v>
                      </c:pt>
                    </c:numCache>
                  </c:numRef>
                </c:val>
                <c:extLst xmlns:c15="http://schemas.microsoft.com/office/drawing/2012/chart" xmlns:c16r2="http://schemas.microsoft.com/office/drawing/2015/06/chart">
                  <c:ext xmlns:c16="http://schemas.microsoft.com/office/drawing/2014/chart" uri="{C3380CC4-5D6E-409C-BE32-E72D297353CC}">
                    <c16:uniqueId val="{00000026-1CD8-43CE-8F24-D7FF639FD35C}"/>
                  </c:ext>
                </c:extLst>
              </c15:ser>
            </c15:filteredBarSeries>
            <c15:filteredBarSeries>
              <c15:ser>
                <c:idx val="9"/>
                <c:order val="9"/>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'[Control_Measures_Workbook_06222017.xlsx]OTR-CSA_Top15'!$K$31</c15:sqref>
                        </c15:formulaRef>
                      </c:ext>
                    </c:extLst>
                    <c:strCache>
                      <c:ptCount val="1"/>
                      <c:pt idx="0">
                        <c:v>MO</c:v>
                      </c:pt>
                    </c:strCache>
                  </c:strRef>
                </c:tx>
                <c:spPr>
                  <a:solidFill>
                    <a:schemeClr val="accent4">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'[Control_Measures_Workbook_06222017.xlsx]OTR-CSA_Top15'!$K$32:$K$49</c15:sqref>
                        </c15:formulaRef>
                      </c:ext>
                    </c:extLst>
                    <c:numCache>
                      <c:formatCode>General</c:formatCode>
                      <c:ptCount val="15"/>
                      <c:pt idx="0" formatCode="_(* #,##0_);_(* \(#,##0\);_(* &quot;-&quot;??_);_(@_)">
                        <c:v>6856.0226999999959</c:v>
                      </c:pt>
                      <c:pt idx="2" formatCode="_(* #,##0_);_(* \(#,##0\);_(* &quot;-&quot;??_);_(@_)">
                        <c:v>9622.5694999999996</c:v>
                      </c:pt>
                      <c:pt idx="6" formatCode="_(* #,##0_);_(* \(#,##0\);_(* &quot;-&quot;??_);_(@_)">
                        <c:v>568.08219999999994</c:v>
                      </c:pt>
                      <c:pt idx="7" formatCode="_(* #,##0_);_(* \(#,##0\);_(* &quot;-&quot;??_);_(@_)">
                        <c:v>1825.6784099999998</c:v>
                      </c:pt>
                      <c:pt idx="8" formatCode="_(* #,##0_);_(* \(#,##0\);_(* &quot;-&quot;??_);_(@_)">
                        <c:v>41.876600000000003</c:v>
                      </c:pt>
                      <c:pt idx="9" formatCode="_(* #,##0_);_(* \(#,##0\);_(* &quot;-&quot;??_);_(@_)">
                        <c:v>622.649</c:v>
                      </c:pt>
                      <c:pt idx="10" formatCode="_(* #,##0_);_(* \(#,##0\);_(* &quot;-&quot;??_);_(@_)">
                        <c:v>143.99820000000003</c:v>
                      </c:pt>
                      <c:pt idx="11" formatCode="_(* #,##0_);_(* \(#,##0\);_(* &quot;-&quot;??_);_(@_)">
                        <c:v>5366.8294000000014</c:v>
                      </c:pt>
                      <c:pt idx="12" formatCode="_(* #,##0_);_(* \(#,##0\);_(* &quot;-&quot;??_);_(@_)">
                        <c:v>121.5887</c:v>
                      </c:pt>
                      <c:pt idx="13" formatCode="_(* #,##0_);_(* \(#,##0\);_(* &quot;-&quot;??_);_(@_)">
                        <c:v>0.41100000000000003</c:v>
                      </c:pt>
                    </c:numCache>
                  </c:numRef>
                </c:val>
                <c:extLst xmlns:c15="http://schemas.microsoft.com/office/drawing/2012/chart" xmlns:c16r2="http://schemas.microsoft.com/office/drawing/2015/06/chart">
                  <c:ext xmlns:c16="http://schemas.microsoft.com/office/drawing/2014/chart" uri="{C3380CC4-5D6E-409C-BE32-E72D297353CC}">
                    <c16:uniqueId val="{00000027-1CD8-43CE-8F24-D7FF639FD35C}"/>
                  </c:ext>
                </c:extLst>
              </c15:ser>
            </c15:filteredBarSeries>
            <c15:filteredBarSeries>
              <c15:ser>
                <c:idx val="10"/>
                <c:order val="10"/>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'[Control_Measures_Workbook_06222017.xlsx]OTR-CSA_Top15'!$L$31</c15:sqref>
                        </c15:formulaRef>
                      </c:ext>
                    </c:extLst>
                    <c:strCache>
                      <c:ptCount val="1"/>
                      <c:pt idx="0">
                        <c:v>MS</c:v>
                      </c:pt>
                    </c:strCache>
                  </c:strRef>
                </c:tx>
                <c:spPr>
                  <a:solidFill>
                    <a:schemeClr val="accent5">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'[Control_Measures_Workbook_06222017.xlsx]OTR-CSA_Top15'!$L$32:$L$49</c15:sqref>
                        </c15:formulaRef>
                      </c:ext>
                    </c:extLst>
                    <c:numCache>
                      <c:formatCode>_(* #,##0_);_(* \(#,##0\);_(* "-"??_);_(@_)</c:formatCode>
                      <c:ptCount val="15"/>
                      <c:pt idx="0">
                        <c:v>7971.2800000000025</c:v>
                      </c:pt>
                      <c:pt idx="1">
                        <c:v>281.32000000000005</c:v>
                      </c:pt>
                      <c:pt idx="3">
                        <c:v>2439.400000000001</c:v>
                      </c:pt>
                      <c:pt idx="4">
                        <c:v>212.93</c:v>
                      </c:pt>
                      <c:pt idx="5">
                        <c:v>750.48999999999967</c:v>
                      </c:pt>
                      <c:pt idx="6">
                        <c:v>342.03</c:v>
                      </c:pt>
                      <c:pt idx="7">
                        <c:v>557.70974999999999</c:v>
                      </c:pt>
                      <c:pt idx="8">
                        <c:v>1.26</c:v>
                      </c:pt>
                      <c:pt idx="9">
                        <c:v>0.28999999999999998</c:v>
                      </c:pt>
                      <c:pt idx="10">
                        <c:v>111.00000000000003</c:v>
                      </c:pt>
                      <c:pt idx="12">
                        <c:v>90.76</c:v>
                      </c:pt>
                      <c:pt idx="13">
                        <c:v>2637.56</c:v>
                      </c:pt>
                      <c:pt idx="14">
                        <c:v>2406.8000000000002</c:v>
                      </c:pt>
                    </c:numCache>
                  </c:numRef>
                </c:val>
                <c:extLst xmlns:c15="http://schemas.microsoft.com/office/drawing/2012/chart" xmlns:c16r2="http://schemas.microsoft.com/office/drawing/2015/06/chart">
                  <c:ext xmlns:c16="http://schemas.microsoft.com/office/drawing/2014/chart" uri="{C3380CC4-5D6E-409C-BE32-E72D297353CC}">
                    <c16:uniqueId val="{00000028-1CD8-43CE-8F24-D7FF639FD35C}"/>
                  </c:ext>
                </c:extLst>
              </c15:ser>
            </c15:filteredBarSeries>
            <c15:filteredBarSeries>
              <c15:ser>
                <c:idx val="11"/>
                <c:order val="11"/>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'[Control_Measures_Workbook_06222017.xlsx]OTR-CSA_Top15'!$M$31</c15:sqref>
                        </c15:formulaRef>
                      </c:ext>
                    </c:extLst>
                    <c:strCache>
                      <c:ptCount val="1"/>
                      <c:pt idx="0">
                        <c:v>OH</c:v>
                      </c:pt>
                    </c:strCache>
                  </c:strRef>
                </c:tx>
                <c:spPr>
                  <a:solidFill>
                    <a:schemeClr val="accent6">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'[Control_Measures_Workbook_06222017.xlsx]OTR-CSA_Top15'!$M$32:$M$49</c15:sqref>
                        </c15:formulaRef>
                      </c:ext>
                    </c:extLst>
                    <c:numCache>
                      <c:formatCode>_(* #,##0_);_(* \(#,##0\);_(* "-"??_);_(@_)</c:formatCode>
                      <c:ptCount val="15"/>
                      <c:pt idx="0">
                        <c:v>8172.6028999999953</c:v>
                      </c:pt>
                      <c:pt idx="1">
                        <c:v>307.41500000000002</c:v>
                      </c:pt>
                      <c:pt idx="2">
                        <c:v>1272.7</c:v>
                      </c:pt>
                      <c:pt idx="3">
                        <c:v>2824.3612000000007</c:v>
                      </c:pt>
                      <c:pt idx="4">
                        <c:v>2974.9812000000002</c:v>
                      </c:pt>
                      <c:pt idx="5">
                        <c:v>7684.4484999999986</c:v>
                      </c:pt>
                      <c:pt idx="6">
                        <c:v>1469.6272590000005</c:v>
                      </c:pt>
                      <c:pt idx="7">
                        <c:v>3224.4718453752002</c:v>
                      </c:pt>
                      <c:pt idx="8">
                        <c:v>70.771000000000001</c:v>
                      </c:pt>
                      <c:pt idx="9">
                        <c:v>2419.5811999999996</c:v>
                      </c:pt>
                      <c:pt idx="10">
                        <c:v>545.38040100000035</c:v>
                      </c:pt>
                      <c:pt idx="11">
                        <c:v>6530.35</c:v>
                      </c:pt>
                      <c:pt idx="12">
                        <c:v>502.15069999999997</c:v>
                      </c:pt>
                      <c:pt idx="13">
                        <c:v>720.3572999999999</c:v>
                      </c:pt>
                    </c:numCache>
                  </c:numRef>
                </c:val>
                <c:extLst xmlns:c15="http://schemas.microsoft.com/office/drawing/2012/chart" xmlns:c16r2="http://schemas.microsoft.com/office/drawing/2015/06/chart">
                  <c:ext xmlns:c16="http://schemas.microsoft.com/office/drawing/2014/chart" uri="{C3380CC4-5D6E-409C-BE32-E72D297353CC}">
                    <c16:uniqueId val="{00000029-1CD8-43CE-8F24-D7FF639FD35C}"/>
                  </c:ext>
                </c:extLst>
              </c15:ser>
            </c15:filteredBarSeries>
            <c15:filteredBarSeries>
              <c15:ser>
                <c:idx val="12"/>
                <c:order val="12"/>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'[Control_Measures_Workbook_06222017.xlsx]OTR-CSA_Top15'!$N$31</c15:sqref>
                        </c15:formulaRef>
                      </c:ext>
                    </c:extLst>
                    <c:strCache>
                      <c:ptCount val="1"/>
                      <c:pt idx="0">
                        <c:v>OK</c:v>
                      </c:pt>
                    </c:strCache>
                  </c:strRef>
                </c:tx>
                <c:spPr>
                  <a:solidFill>
                    <a:schemeClr val="accent1">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'[Control_Measures_Workbook_06222017.xlsx]OTR-CSA_Top15'!$N$32:$N$49</c15:sqref>
                        </c15:formulaRef>
                      </c:ext>
                    </c:extLst>
                    <c:numCache>
                      <c:formatCode>_(* #,##0_);_(* \(#,##0\);_(* "-"??_);_(@_)</c:formatCode>
                      <c:ptCount val="15"/>
                      <c:pt idx="0">
                        <c:v>17306.305000000048</c:v>
                      </c:pt>
                      <c:pt idx="1">
                        <c:v>43533.049000000028</c:v>
                      </c:pt>
                      <c:pt idx="2">
                        <c:v>5551.0810000000001</c:v>
                      </c:pt>
                      <c:pt idx="3">
                        <c:v>2682.2309999999979</c:v>
                      </c:pt>
                      <c:pt idx="4">
                        <c:v>1688.663</c:v>
                      </c:pt>
                      <c:pt idx="5">
                        <c:v>52.514000000000003</c:v>
                      </c:pt>
                      <c:pt idx="7">
                        <c:v>300.30127000000005</c:v>
                      </c:pt>
                      <c:pt idx="8">
                        <c:v>31.411000000000001</c:v>
                      </c:pt>
                      <c:pt idx="9">
                        <c:v>1716.8240000000003</c:v>
                      </c:pt>
                      <c:pt idx="10">
                        <c:v>419.24</c:v>
                      </c:pt>
                      <c:pt idx="11">
                        <c:v>274.59699999999998</c:v>
                      </c:pt>
                      <c:pt idx="12">
                        <c:v>1218.4140000000002</c:v>
                      </c:pt>
                      <c:pt idx="13">
                        <c:v>3239.5649999999991</c:v>
                      </c:pt>
                    </c:numCache>
                  </c:numRef>
                </c:val>
                <c:extLst xmlns:c15="http://schemas.microsoft.com/office/drawing/2012/chart" xmlns:c16r2="http://schemas.microsoft.com/office/drawing/2015/06/chart">
                  <c:ext xmlns:c16="http://schemas.microsoft.com/office/drawing/2014/chart" uri="{C3380CC4-5D6E-409C-BE32-E72D297353CC}">
                    <c16:uniqueId val="{0000002A-1CD8-43CE-8F24-D7FF639FD35C}"/>
                  </c:ext>
                </c:extLst>
              </c15:ser>
            </c15:filteredBarSeries>
            <c15:filteredBarSeries>
              <c15:ser>
                <c:idx val="13"/>
                <c:order val="13"/>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'[Control_Measures_Workbook_06222017.xlsx]OTR-CSA_Top15'!$O$31</c15:sqref>
                        </c15:formulaRef>
                      </c:ext>
                    </c:extLst>
                    <c:strCache>
                      <c:ptCount val="1"/>
                      <c:pt idx="0">
                        <c:v>TN</c:v>
                      </c:pt>
                    </c:strCache>
                  </c:strRef>
                </c:tx>
                <c:spPr>
                  <a:solidFill>
                    <a:schemeClr val="accent2">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'[Control_Measures_Workbook_06222017.xlsx]OTR-CSA_Top15'!$O$32:$O$49</c15:sqref>
                        </c15:formulaRef>
                      </c:ext>
                    </c:extLst>
                    <c:numCache>
                      <c:formatCode>General</c:formatCode>
                      <c:ptCount val="15"/>
                      <c:pt idx="0" formatCode="_(* #,##0_);_(* \(#,##0\);_(* &quot;-&quot;??_);_(@_)">
                        <c:v>3750.7903265900013</c:v>
                      </c:pt>
                      <c:pt idx="2" formatCode="_(* #,##0_);_(* \(#,##0\);_(* &quot;-&quot;??_);_(@_)">
                        <c:v>2520.06</c:v>
                      </c:pt>
                      <c:pt idx="3" formatCode="_(* #,##0_);_(* \(#,##0\);_(* &quot;-&quot;??_);_(@_)">
                        <c:v>326.21839216239999</c:v>
                      </c:pt>
                      <c:pt idx="4" formatCode="_(* #,##0_);_(* \(#,##0\);_(* &quot;-&quot;??_);_(@_)">
                        <c:v>1833.3686899999998</c:v>
                      </c:pt>
                      <c:pt idx="5" formatCode="_(* #,##0_);_(* \(#,##0\);_(* &quot;-&quot;??_);_(@_)">
                        <c:v>318.18499999999995</c:v>
                      </c:pt>
                      <c:pt idx="6" formatCode="_(* #,##0_);_(* \(#,##0\);_(* &quot;-&quot;??_);_(@_)">
                        <c:v>9632.4099697999973</c:v>
                      </c:pt>
                      <c:pt idx="7" formatCode="_(* #,##0_);_(* \(#,##0\);_(* &quot;-&quot;??_);_(@_)">
                        <c:v>2704.8028500000005</c:v>
                      </c:pt>
                      <c:pt idx="9" formatCode="_(* #,##0_);_(* \(#,##0\);_(* &quot;-&quot;??_);_(@_)">
                        <c:v>3209.0928400000003</c:v>
                      </c:pt>
                      <c:pt idx="10" formatCode="_(* #,##0_);_(* \(#,##0\);_(* &quot;-&quot;??_);_(@_)">
                        <c:v>170.03073000000001</c:v>
                      </c:pt>
                      <c:pt idx="11" formatCode="_(* #,##0_);_(* \(#,##0\);_(* &quot;-&quot;??_);_(@_)">
                        <c:v>350</c:v>
                      </c:pt>
                      <c:pt idx="12" formatCode="_(* #,##0_);_(* \(#,##0\);_(* &quot;-&quot;??_);_(@_)">
                        <c:v>1020.24829</c:v>
                      </c:pt>
                      <c:pt idx="13" formatCode="_(* #,##0_);_(* \(#,##0\);_(* &quot;-&quot;??_);_(@_)">
                        <c:v>2049.2242540699999</c:v>
                      </c:pt>
                      <c:pt idx="14" formatCode="_(* #,##0_);_(* \(#,##0\);_(* &quot;-&quot;??_);_(@_)">
                        <c:v>23.510999999999999</c:v>
                      </c:pt>
                    </c:numCache>
                  </c:numRef>
                </c:val>
                <c:extLst xmlns:c15="http://schemas.microsoft.com/office/drawing/2012/chart" xmlns:c16r2="http://schemas.microsoft.com/office/drawing/2015/06/chart">
                  <c:ext xmlns:c16="http://schemas.microsoft.com/office/drawing/2014/chart" uri="{C3380CC4-5D6E-409C-BE32-E72D297353CC}">
                    <c16:uniqueId val="{0000002B-1CD8-43CE-8F24-D7FF639FD35C}"/>
                  </c:ext>
                </c:extLst>
              </c15:ser>
            </c15:filteredBarSeries>
            <c15:filteredBarSeries>
              <c15:ser>
                <c:idx val="14"/>
                <c:order val="14"/>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'[Control_Measures_Workbook_06222017.xlsx]OTR-CSA_Top15'!$P$31</c15:sqref>
                        </c15:formulaRef>
                      </c:ext>
                    </c:extLst>
                    <c:strCache>
                      <c:ptCount val="1"/>
                      <c:pt idx="0">
                        <c:v>TX</c:v>
                      </c:pt>
                    </c:strCache>
                  </c:strRef>
                </c:tx>
                <c:spPr>
                  <a:solidFill>
                    <a:schemeClr val="accent3">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'[Control_Measures_Workbook_06222017.xlsx]OTR-CSA_Top15'!$P$32:$P$49</c15:sqref>
                        </c15:formulaRef>
                      </c:ext>
                    </c:extLst>
                    <c:numCache>
                      <c:formatCode>_(* #,##0_);_(* \(#,##0\);_(* "-"??_);_(@_)</c:formatCode>
                      <c:ptCount val="15"/>
                      <c:pt idx="0">
                        <c:v>14435.110899999976</c:v>
                      </c:pt>
                      <c:pt idx="1">
                        <c:v>50323.025200000084</c:v>
                      </c:pt>
                      <c:pt idx="2">
                        <c:v>16560.406999999999</c:v>
                      </c:pt>
                      <c:pt idx="3">
                        <c:v>20224.743999999995</c:v>
                      </c:pt>
                      <c:pt idx="4">
                        <c:v>2601.0273000000002</c:v>
                      </c:pt>
                      <c:pt idx="7">
                        <c:v>5258.4822320000048</c:v>
                      </c:pt>
                      <c:pt idx="8">
                        <c:v>25999.277599999983</c:v>
                      </c:pt>
                      <c:pt idx="9">
                        <c:v>5402.4380999999985</c:v>
                      </c:pt>
                      <c:pt idx="10">
                        <c:v>639.23519999999996</c:v>
                      </c:pt>
                      <c:pt idx="11">
                        <c:v>2508.2221</c:v>
                      </c:pt>
                      <c:pt idx="12">
                        <c:v>5788.211900000003</c:v>
                      </c:pt>
                      <c:pt idx="13">
                        <c:v>1868.0449000000003</c:v>
                      </c:pt>
                    </c:numCache>
                  </c:numRef>
                </c:val>
                <c:extLst xmlns:c15="http://schemas.microsoft.com/office/drawing/2012/chart" xmlns:c16r2="http://schemas.microsoft.com/office/drawing/2015/06/chart">
                  <c:ext xmlns:c16="http://schemas.microsoft.com/office/drawing/2014/chart" uri="{C3380CC4-5D6E-409C-BE32-E72D297353CC}">
                    <c16:uniqueId val="{0000002C-1CD8-43CE-8F24-D7FF639FD35C}"/>
                  </c:ext>
                </c:extLst>
              </c15:ser>
            </c15:filteredBarSeries>
            <c15:filteredBarSeries>
              <c15:ser>
                <c:idx val="15"/>
                <c:order val="15"/>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'[Control_Measures_Workbook_06222017.xlsx]OTR-CSA_Top15'!$Q$31</c15:sqref>
                        </c15:formulaRef>
                      </c:ext>
                    </c:extLst>
                    <c:strCache>
                      <c:ptCount val="1"/>
                      <c:pt idx="0">
                        <c:v>VA</c:v>
                      </c:pt>
                    </c:strCache>
                  </c:strRef>
                </c:tx>
                <c:spPr>
                  <a:solidFill>
                    <a:schemeClr val="accent4">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'[Control_Measures_Workbook_06222017.xlsx]OTR-CSA_Top15'!$Q$32:$Q$49</c15:sqref>
                        </c15:formulaRef>
                      </c:ext>
                    </c:extLst>
                    <c:numCache>
                      <c:formatCode>General</c:formatCode>
                      <c:ptCount val="15"/>
                      <c:pt idx="0" formatCode="_(* #,##0_);_(* \(#,##0\);_(* &quot;-&quot;??_);_(@_)">
                        <c:v>631.43949198999996</c:v>
                      </c:pt>
                      <c:pt idx="2" formatCode="_(* #,##0_);_(* \(#,##0\);_(* &quot;-&quot;??_);_(@_)">
                        <c:v>2006.8119999999999</c:v>
                      </c:pt>
                      <c:pt idx="3" formatCode="_(* #,##0_);_(* \(#,##0\);_(* &quot;-&quot;??_);_(@_)">
                        <c:v>1.3</c:v>
                      </c:pt>
                      <c:pt idx="4" formatCode="_(* #,##0_);_(* \(#,##0\);_(* &quot;-&quot;??_);_(@_)">
                        <c:v>4251.8672499999993</c:v>
                      </c:pt>
                      <c:pt idx="5" formatCode="_(* #,##0_);_(* \(#,##0\);_(* &quot;-&quot;??_);_(@_)">
                        <c:v>398.50363500000003</c:v>
                      </c:pt>
                      <c:pt idx="6" formatCode="_(* #,##0_);_(* \(#,##0\);_(* &quot;-&quot;??_);_(@_)">
                        <c:v>6739.2575329999991</c:v>
                      </c:pt>
                      <c:pt idx="7" formatCode="_(* #,##0_);_(* \(#,##0\);_(* &quot;-&quot;??_);_(@_)">
                        <c:v>1064.8373199999999</c:v>
                      </c:pt>
                      <c:pt idx="9" formatCode="_(* #,##0_);_(* \(#,##0\);_(* &quot;-&quot;??_);_(@_)">
                        <c:v>546.76960000000008</c:v>
                      </c:pt>
                      <c:pt idx="10" formatCode="_(* #,##0_);_(* \(#,##0\);_(* &quot;-&quot;??_);_(@_)">
                        <c:v>2147.1303040000003</c:v>
                      </c:pt>
                      <c:pt idx="11" formatCode="_(* #,##0_);_(* \(#,##0\);_(* &quot;-&quot;??_);_(@_)">
                        <c:v>1857.8449000000001</c:v>
                      </c:pt>
                      <c:pt idx="12" formatCode="_(* #,##0_);_(* \(#,##0\);_(* &quot;-&quot;??_);_(@_)">
                        <c:v>5.0150000000000006</c:v>
                      </c:pt>
                      <c:pt idx="13" formatCode="_(* #,##0_);_(* \(#,##0\);_(* &quot;-&quot;??_);_(@_)">
                        <c:v>3256.0688579999996</c:v>
                      </c:pt>
                    </c:numCache>
                  </c:numRef>
                </c:val>
                <c:extLst xmlns:c15="http://schemas.microsoft.com/office/drawing/2012/chart" xmlns:c16r2="http://schemas.microsoft.com/office/drawing/2015/06/chart">
                  <c:ext xmlns:c16="http://schemas.microsoft.com/office/drawing/2014/chart" uri="{C3380CC4-5D6E-409C-BE32-E72D297353CC}">
                    <c16:uniqueId val="{0000002D-1CD8-43CE-8F24-D7FF639FD35C}"/>
                  </c:ext>
                </c:extLst>
              </c15:ser>
            </c15:filteredBarSeries>
            <c15:filteredBarSeries>
              <c15:ser>
                <c:idx val="16"/>
                <c:order val="16"/>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'[Control_Measures_Workbook_06222017.xlsx]OTR-CSA_Top15'!$R$31</c15:sqref>
                        </c15:formulaRef>
                      </c:ext>
                    </c:extLst>
                    <c:strCache>
                      <c:ptCount val="1"/>
                      <c:pt idx="0">
                        <c:v>WI</c:v>
                      </c:pt>
                    </c:strCache>
                  </c:strRef>
                </c:tx>
                <c:spPr>
                  <a:solidFill>
                    <a:schemeClr val="accent5">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'[Control_Measures_Workbook_06222017.xlsx]OTR-CSA_Top15'!$R$32:$R$49</c15:sqref>
                        </c15:formulaRef>
                      </c:ext>
                    </c:extLst>
                    <c:numCache>
                      <c:formatCode>_(* #,##0_);_(* \(#,##0\);_(* "-"??_);_(@_)</c:formatCode>
                      <c:ptCount val="15"/>
                      <c:pt idx="0">
                        <c:v>192.80093743</c:v>
                      </c:pt>
                      <c:pt idx="1">
                        <c:v>2.8781330000000001</c:v>
                      </c:pt>
                      <c:pt idx="3">
                        <c:v>390.03715</c:v>
                      </c:pt>
                      <c:pt idx="4">
                        <c:v>10781.778075399998</c:v>
                      </c:pt>
                      <c:pt idx="5">
                        <c:v>133.09786700000001</c:v>
                      </c:pt>
                      <c:pt idx="6">
                        <c:v>490.15952621000008</c:v>
                      </c:pt>
                      <c:pt idx="7">
                        <c:v>1186.1238429999999</c:v>
                      </c:pt>
                      <c:pt idx="9">
                        <c:v>2840.4534289999997</c:v>
                      </c:pt>
                      <c:pt idx="10">
                        <c:v>797.00746260000005</c:v>
                      </c:pt>
                      <c:pt idx="11">
                        <c:v>1295.1625976</c:v>
                      </c:pt>
                      <c:pt idx="13">
                        <c:v>1980.3492819999999</c:v>
                      </c:pt>
                      <c:pt idx="14">
                        <c:v>2911.16954575</c:v>
                      </c:pt>
                    </c:numCache>
                  </c:numRef>
                </c:val>
                <c:extLst xmlns:c15="http://schemas.microsoft.com/office/drawing/2012/chart" xmlns:c16r2="http://schemas.microsoft.com/office/drawing/2015/06/chart">
                  <c:ext xmlns:c16="http://schemas.microsoft.com/office/drawing/2014/chart" uri="{C3380CC4-5D6E-409C-BE32-E72D297353CC}">
                    <c16:uniqueId val="{0000002E-1CD8-43CE-8F24-D7FF639FD35C}"/>
                  </c:ext>
                </c:extLst>
              </c15:ser>
            </c15:filteredBarSeries>
            <c15:filteredBarSeries>
              <c15:ser>
                <c:idx val="17"/>
                <c:order val="17"/>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'[Control_Measures_Workbook_06222017.xlsx]OTR-CSA_Top15'!$S$31</c15:sqref>
                        </c15:formulaRef>
                      </c:ext>
                    </c:extLst>
                    <c:strCache>
                      <c:ptCount val="1"/>
                      <c:pt idx="0">
                        <c:v>WV</c:v>
                      </c:pt>
                    </c:strCache>
                  </c:strRef>
                </c:tx>
                <c:spPr>
                  <a:solidFill>
                    <a:schemeClr val="accent6">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'[Control_Measures_Workbook_06222017.xlsx]OTR-CSA_Top15'!$S$32:$S$49</c15:sqref>
                        </c15:formulaRef>
                      </c:ext>
                    </c:extLst>
                    <c:numCache>
                      <c:formatCode>_(* #,##0_);_(* \(#,##0\);_(* "-"??_);_(@_)</c:formatCode>
                      <c:ptCount val="15"/>
                      <c:pt idx="0">
                        <c:v>11133.3601134</c:v>
                      </c:pt>
                      <c:pt idx="1">
                        <c:v>631.35493699999995</c:v>
                      </c:pt>
                      <c:pt idx="2">
                        <c:v>1263.8021925548001</c:v>
                      </c:pt>
                      <c:pt idx="3">
                        <c:v>109.1452</c:v>
                      </c:pt>
                      <c:pt idx="5">
                        <c:v>1715.1469599999994</c:v>
                      </c:pt>
                      <c:pt idx="6">
                        <c:v>686.46205980000002</c:v>
                      </c:pt>
                      <c:pt idx="7">
                        <c:v>535.05606999999998</c:v>
                      </c:pt>
                      <c:pt idx="10">
                        <c:v>40.567121</c:v>
                      </c:pt>
                      <c:pt idx="11">
                        <c:v>259.87</c:v>
                      </c:pt>
                      <c:pt idx="12">
                        <c:v>2038.3183000000001</c:v>
                      </c:pt>
                      <c:pt idx="13">
                        <c:v>57.530999999999999</c:v>
                      </c:pt>
                      <c:pt idx="14">
                        <c:v>11.5</c:v>
                      </c:pt>
                    </c:numCache>
                  </c:numRef>
                </c:val>
                <c:extLst xmlns:c15="http://schemas.microsoft.com/office/drawing/2012/chart" xmlns:c16r2="http://schemas.microsoft.com/office/drawing/2015/06/chart">
                  <c:ext xmlns:c16="http://schemas.microsoft.com/office/drawing/2014/chart" uri="{C3380CC4-5D6E-409C-BE32-E72D297353CC}">
                    <c16:uniqueId val="{0000002F-1CD8-43CE-8F24-D7FF639FD35C}"/>
                  </c:ext>
                </c:extLst>
              </c15:ser>
            </c15:filteredBarSeries>
            <c15:filteredBarSeries>
              <c15:ser>
                <c:idx val="18"/>
                <c:order val="18"/>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'[Control_Measures_Workbook_06222017.xlsx]OTR-CSA_Top15'!$T$31</c15:sqref>
                        </c15:formulaRef>
                      </c:ext>
                    </c:extLst>
                    <c:strCache>
                      <c:ptCount val="1"/>
                      <c:pt idx="0">
                        <c:v>CT</c:v>
                      </c:pt>
                    </c:strCache>
                  </c:strRef>
                </c:tx>
                <c:spPr>
                  <a:solidFill>
                    <a:schemeClr val="accent1">
                      <a:lumMod val="8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'[Control_Measures_Workbook_06222017.xlsx]OTR-CSA_Top15'!$T$32:$T$49</c15:sqref>
                        </c15:formulaRef>
                      </c:ext>
                    </c:extLst>
                    <c:numCache>
                      <c:formatCode>General</c:formatCode>
                      <c:ptCount val="15"/>
                      <c:pt idx="0" formatCode="_(* #,##0_);_(* \(#,##0\);_(* &quot;-&quot;??_);_(@_)">
                        <c:v>346.66768267999998</c:v>
                      </c:pt>
                      <c:pt idx="4" formatCode="_(* #,##0_);_(* \(#,##0\);_(* &quot;-&quot;??_);_(@_)">
                        <c:v>44.441751799999999</c:v>
                      </c:pt>
                      <c:pt idx="10" formatCode="_(* #,##0_);_(* \(#,##0\);_(* &quot;-&quot;??_);_(@_)">
                        <c:v>3093.1476477399992</c:v>
                      </c:pt>
                      <c:pt idx="13" formatCode="_(* #,##0_);_(* \(#,##0\);_(* &quot;-&quot;??_);_(@_)">
                        <c:v>180.91962100000001</c:v>
                      </c:pt>
                    </c:numCache>
                  </c:numRef>
                </c:val>
                <c:extLst xmlns:c15="http://schemas.microsoft.com/office/drawing/2012/chart" xmlns:c16r2="http://schemas.microsoft.com/office/drawing/2015/06/chart">
                  <c:ext xmlns:c16="http://schemas.microsoft.com/office/drawing/2014/chart" uri="{C3380CC4-5D6E-409C-BE32-E72D297353CC}">
                    <c16:uniqueId val="{00000030-1CD8-43CE-8F24-D7FF639FD35C}"/>
                  </c:ext>
                </c:extLst>
              </c15:ser>
            </c15:filteredBarSeries>
            <c15:filteredBarSeries>
              <c15:ser>
                <c:idx val="19"/>
                <c:order val="19"/>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'[Control_Measures_Workbook_06222017.xlsx]OTR-CSA_Top15'!$U$31</c15:sqref>
                        </c15:formulaRef>
                      </c:ext>
                    </c:extLst>
                    <c:strCache>
                      <c:ptCount val="1"/>
                      <c:pt idx="0">
                        <c:v>DC</c:v>
                      </c:pt>
                    </c:strCache>
                  </c:strRef>
                </c:tx>
                <c:spPr>
                  <a:solidFill>
                    <a:schemeClr val="accent2">
                      <a:lumMod val="8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'[Control_Measures_Workbook_06222017.xlsx]OTR-CSA_Top15'!$U$32:$U$49</c15:sqref>
                        </c15:formulaRef>
                      </c:ext>
                    </c:extLst>
                    <c:numCache>
                      <c:formatCode>General</c:formatCode>
                      <c:ptCount val="15"/>
                      <c:pt idx="7" formatCode="_(* #,##0_);_(* \(#,##0\);_(* &quot;-&quot;??_);_(@_)">
                        <c:v>16.3523</c:v>
                      </c:pt>
                    </c:numCache>
                  </c:numRef>
                </c:val>
                <c:extLst xmlns:c15="http://schemas.microsoft.com/office/drawing/2012/chart" xmlns:c16r2="http://schemas.microsoft.com/office/drawing/2015/06/chart">
                  <c:ext xmlns:c16="http://schemas.microsoft.com/office/drawing/2014/chart" uri="{C3380CC4-5D6E-409C-BE32-E72D297353CC}">
                    <c16:uniqueId val="{00000031-1CD8-43CE-8F24-D7FF639FD35C}"/>
                  </c:ext>
                </c:extLst>
              </c15:ser>
            </c15:filteredBarSeries>
            <c15:filteredBarSeries>
              <c15:ser>
                <c:idx val="20"/>
                <c:order val="20"/>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'[Control_Measures_Workbook_06222017.xlsx]OTR-CSA_Top15'!$V$31</c15:sqref>
                        </c15:formulaRef>
                      </c:ext>
                    </c:extLst>
                    <c:strCache>
                      <c:ptCount val="1"/>
                      <c:pt idx="0">
                        <c:v>DE</c:v>
                      </c:pt>
                    </c:strCache>
                  </c:strRef>
                </c:tx>
                <c:spPr>
                  <a:solidFill>
                    <a:schemeClr val="accent3">
                      <a:lumMod val="8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'[Control_Measures_Workbook_06222017.xlsx]OTR-CSA_Top15'!$V$32:$V$49</c15:sqref>
                        </c15:formulaRef>
                      </c:ext>
                    </c:extLst>
                    <c:numCache>
                      <c:formatCode>General</c:formatCode>
                      <c:ptCount val="15"/>
                      <c:pt idx="3" formatCode="_(* #,##0_);_(* \(#,##0\);_(* &quot;-&quot;??_);_(@_)">
                        <c:v>1967.6576240000002</c:v>
                      </c:pt>
                      <c:pt idx="4" formatCode="_(* #,##0_);_(* \(#,##0\);_(* &quot;-&quot;??_);_(@_)">
                        <c:v>1.2128E-2</c:v>
                      </c:pt>
                      <c:pt idx="6" formatCode="_(* #,##0_);_(* \(#,##0\);_(* &quot;-&quot;??_);_(@_)">
                        <c:v>27.148360000000004</c:v>
                      </c:pt>
                      <c:pt idx="7" formatCode="_(* #,##0_);_(* \(#,##0\);_(* &quot;-&quot;??_);_(@_)">
                        <c:v>0.15444150000000001</c:v>
                      </c:pt>
                      <c:pt idx="10" formatCode="_(* #,##0_);_(* \(#,##0\);_(* &quot;-&quot;??_);_(@_)">
                        <c:v>18.628239999999995</c:v>
                      </c:pt>
                      <c:pt idx="12" formatCode="_(* #,##0_);_(* \(#,##0\);_(* &quot;-&quot;??_);_(@_)">
                        <c:v>32.798549999999999</c:v>
                      </c:pt>
                    </c:numCache>
                  </c:numRef>
                </c:val>
                <c:extLst xmlns:c15="http://schemas.microsoft.com/office/drawing/2012/chart" xmlns:c16r2="http://schemas.microsoft.com/office/drawing/2015/06/chart">
                  <c:ext xmlns:c16="http://schemas.microsoft.com/office/drawing/2014/chart" uri="{C3380CC4-5D6E-409C-BE32-E72D297353CC}">
                    <c16:uniqueId val="{00000032-1CD8-43CE-8F24-D7FF639FD35C}"/>
                  </c:ext>
                </c:extLst>
              </c15:ser>
            </c15:filteredBarSeries>
            <c15:filteredBarSeries>
              <c15:ser>
                <c:idx val="21"/>
                <c:order val="21"/>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'[Control_Measures_Workbook_06222017.xlsx]OTR-CSA_Top15'!$W$31</c15:sqref>
                        </c15:formulaRef>
                      </c:ext>
                    </c:extLst>
                    <c:strCache>
                      <c:ptCount val="1"/>
                      <c:pt idx="0">
                        <c:v>NH</c:v>
                      </c:pt>
                    </c:strCache>
                  </c:strRef>
                </c:tx>
                <c:spPr>
                  <a:solidFill>
                    <a:schemeClr val="accent4">
                      <a:lumMod val="8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'[Control_Measures_Workbook_06222017.xlsx]OTR-CSA_Top15'!$W$32:$W$49</c15:sqref>
                        </c15:formulaRef>
                      </c:ext>
                    </c:extLst>
                    <c:numCache>
                      <c:formatCode>General</c:formatCode>
                      <c:ptCount val="15"/>
                      <c:pt idx="4" formatCode="_(* #,##0_);_(* \(#,##0\);_(* &quot;-&quot;??_);_(@_)">
                        <c:v>125.72985850000001</c:v>
                      </c:pt>
                      <c:pt idx="9" formatCode="_(* #,##0_);_(* \(#,##0\);_(* &quot;-&quot;??_);_(@_)">
                        <c:v>0.69139399999999995</c:v>
                      </c:pt>
                      <c:pt idx="10" formatCode="_(* #,##0_);_(* \(#,##0\);_(* &quot;-&quot;??_);_(@_)">
                        <c:v>429.09975140000006</c:v>
                      </c:pt>
                    </c:numCache>
                  </c:numRef>
                </c:val>
                <c:extLst xmlns:c15="http://schemas.microsoft.com/office/drawing/2012/chart" xmlns:c16r2="http://schemas.microsoft.com/office/drawing/2015/06/chart">
                  <c:ext xmlns:c16="http://schemas.microsoft.com/office/drawing/2014/chart" uri="{C3380CC4-5D6E-409C-BE32-E72D297353CC}">
                    <c16:uniqueId val="{00000033-1CD8-43CE-8F24-D7FF639FD35C}"/>
                  </c:ext>
                </c:extLst>
              </c15:ser>
            </c15:filteredBarSeries>
            <c15:filteredBarSeries>
              <c15:ser>
                <c:idx val="22"/>
                <c:order val="22"/>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'[Control_Measures_Workbook_06222017.xlsx]OTR-CSA_Top15'!$X$31</c15:sqref>
                        </c15:formulaRef>
                      </c:ext>
                    </c:extLst>
                    <c:strCache>
                      <c:ptCount val="1"/>
                      <c:pt idx="0">
                        <c:v>NJ</c:v>
                      </c:pt>
                    </c:strCache>
                  </c:strRef>
                </c:tx>
                <c:spPr>
                  <a:solidFill>
                    <a:schemeClr val="accent5">
                      <a:lumMod val="8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'[Control_Measures_Workbook_06222017.xlsx]OTR-CSA_Top15'!$X$32:$X$49</c15:sqref>
                        </c15:formulaRef>
                      </c:ext>
                    </c:extLst>
                    <c:numCache>
                      <c:formatCode>General</c:formatCode>
                      <c:ptCount val="15"/>
                      <c:pt idx="0" formatCode="_(* #,##0_);_(* \(#,##0\);_(* &quot;-&quot;??_);_(@_)">
                        <c:v>269.66499999999991</c:v>
                      </c:pt>
                      <c:pt idx="3" formatCode="_(* #,##0_);_(* \(#,##0\);_(* &quot;-&quot;??_);_(@_)">
                        <c:v>1543.6333000000004</c:v>
                      </c:pt>
                      <c:pt idx="4" formatCode="_(* #,##0_);_(* \(#,##0\);_(* &quot;-&quot;??_);_(@_)">
                        <c:v>4.32</c:v>
                      </c:pt>
                      <c:pt idx="5" formatCode="_(* #,##0_);_(* \(#,##0\);_(* &quot;-&quot;??_);_(@_)">
                        <c:v>1.3420000000000001</c:v>
                      </c:pt>
                      <c:pt idx="6" formatCode="_(* #,##0_);_(* \(#,##0\);_(* &quot;-&quot;??_);_(@_)">
                        <c:v>70.250900000000001</c:v>
                      </c:pt>
                      <c:pt idx="8" formatCode="_(* #,##0_);_(* \(#,##0\);_(* &quot;-&quot;??_);_(@_)">
                        <c:v>14.969100000000001</c:v>
                      </c:pt>
                      <c:pt idx="9" formatCode="_(* #,##0_);_(* \(#,##0\);_(* &quot;-&quot;??_);_(@_)">
                        <c:v>685.29740000000004</c:v>
                      </c:pt>
                      <c:pt idx="10" formatCode="_(* #,##0_);_(* \(#,##0\);_(* &quot;-&quot;??_);_(@_)">
                        <c:v>2146.6316999999995</c:v>
                      </c:pt>
                      <c:pt idx="12" formatCode="_(* #,##0_);_(* \(#,##0\);_(* &quot;-&quot;??_);_(@_)">
                        <c:v>13.0471</c:v>
                      </c:pt>
                      <c:pt idx="14" formatCode="_(* #,##0_);_(* \(#,##0\);_(* &quot;-&quot;??_);_(@_)">
                        <c:v>5.9313000000000002</c:v>
                      </c:pt>
                    </c:numCache>
                  </c:numRef>
                </c:val>
                <c:extLst xmlns:c15="http://schemas.microsoft.com/office/drawing/2012/chart" xmlns:c16r2="http://schemas.microsoft.com/office/drawing/2015/06/chart">
                  <c:ext xmlns:c16="http://schemas.microsoft.com/office/drawing/2014/chart" uri="{C3380CC4-5D6E-409C-BE32-E72D297353CC}">
                    <c16:uniqueId val="{00000034-1CD8-43CE-8F24-D7FF639FD35C}"/>
                  </c:ext>
                </c:extLst>
              </c15:ser>
            </c15:filteredBarSeries>
            <c15:filteredBarSeries>
              <c15:ser>
                <c:idx val="23"/>
                <c:order val="23"/>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'[Control_Measures_Workbook_06222017.xlsx]OTR-CSA_Top15'!$Y$31</c15:sqref>
                        </c15:formulaRef>
                      </c:ext>
                    </c:extLst>
                    <c:strCache>
                      <c:ptCount val="1"/>
                      <c:pt idx="0">
                        <c:v>MA</c:v>
                      </c:pt>
                    </c:strCache>
                  </c:strRef>
                </c:tx>
                <c:spPr>
                  <a:solidFill>
                    <a:schemeClr val="accent6">
                      <a:lumMod val="8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'[Control_Measures_Workbook_06222017.xlsx]OTR-CSA_Top15'!$Y$32:$Y$49</c15:sqref>
                        </c15:formulaRef>
                      </c:ext>
                    </c:extLst>
                    <c:numCache>
                      <c:formatCode>_(* #,##0_);_(* \(#,##0\);_(* "-"??_);_(@_)</c:formatCode>
                      <c:ptCount val="15"/>
                      <c:pt idx="0">
                        <c:v>46.010000000000012</c:v>
                      </c:pt>
                      <c:pt idx="1">
                        <c:v>20.127500000000001</c:v>
                      </c:pt>
                      <c:pt idx="4">
                        <c:v>72.428699999999992</c:v>
                      </c:pt>
                      <c:pt idx="5">
                        <c:v>4.1868999999999996</c:v>
                      </c:pt>
                      <c:pt idx="6">
                        <c:v>10.212399999999997</c:v>
                      </c:pt>
                      <c:pt idx="7">
                        <c:v>127.07480000000001</c:v>
                      </c:pt>
                      <c:pt idx="9">
                        <c:v>212.26360000000003</c:v>
                      </c:pt>
                      <c:pt idx="10">
                        <c:v>4957.5515999999998</c:v>
                      </c:pt>
                      <c:pt idx="11">
                        <c:v>98.078500000000005</c:v>
                      </c:pt>
                      <c:pt idx="13">
                        <c:v>6.9684999999999997</c:v>
                      </c:pt>
                      <c:pt idx="14">
                        <c:v>14.419999999999998</c:v>
                      </c:pt>
                    </c:numCache>
                  </c:numRef>
                </c:val>
                <c:extLst xmlns:c15="http://schemas.microsoft.com/office/drawing/2012/chart" xmlns:c16r2="http://schemas.microsoft.com/office/drawing/2015/06/chart">
                  <c:ext xmlns:c16="http://schemas.microsoft.com/office/drawing/2014/chart" uri="{C3380CC4-5D6E-409C-BE32-E72D297353CC}">
                    <c16:uniqueId val="{00000035-1CD8-43CE-8F24-D7FF639FD35C}"/>
                  </c:ext>
                </c:extLst>
              </c15:ser>
            </c15:filteredBarSeries>
            <c15:filteredBarSeries>
              <c15:ser>
                <c:idx val="24"/>
                <c:order val="24"/>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'[Control_Measures_Workbook_06222017.xlsx]OTR-CSA_Top15'!$Z$31</c15:sqref>
                        </c15:formulaRef>
                      </c:ext>
                    </c:extLst>
                    <c:strCache>
                      <c:ptCount val="1"/>
                      <c:pt idx="0">
                        <c:v>MD</c:v>
                      </c:pt>
                    </c:strCache>
                  </c:strRef>
                </c:tx>
                <c:spPr>
                  <a:solidFill>
                    <a:schemeClr val="accent1">
                      <a:lumMod val="60000"/>
                      <a:lumOff val="4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'[Control_Measures_Workbook_06222017.xlsx]OTR-CSA_Top15'!$Z$32:$Z$49</c15:sqref>
                        </c15:formulaRef>
                      </c:ext>
                    </c:extLst>
                    <c:numCache>
                      <c:formatCode>General</c:formatCode>
                      <c:ptCount val="15"/>
                      <c:pt idx="0" formatCode="_(* #,##0_);_(* \(#,##0\);_(* &quot;-&quot;??_);_(@_)">
                        <c:v>111.57421000000001</c:v>
                      </c:pt>
                      <c:pt idx="2" formatCode="_(* #,##0_);_(* \(#,##0\);_(* &quot;-&quot;??_);_(@_)">
                        <c:v>4074.8679400000001</c:v>
                      </c:pt>
                      <c:pt idx="4" formatCode="_(* #,##0_);_(* \(#,##0\);_(* &quot;-&quot;??_);_(@_)">
                        <c:v>2685.7788099999998</c:v>
                      </c:pt>
                      <c:pt idx="6" formatCode="_(* #,##0_);_(* \(#,##0\);_(* &quot;-&quot;??_);_(@_)">
                        <c:v>16.45091</c:v>
                      </c:pt>
                      <c:pt idx="7" formatCode="_(* #,##0_);_(* \(#,##0\);_(* &quot;-&quot;??_);_(@_)">
                        <c:v>324.73483999999991</c:v>
                      </c:pt>
                      <c:pt idx="8" formatCode="_(* #,##0_);_(* \(#,##0\);_(* &quot;-&quot;??_);_(@_)">
                        <c:v>9.1520000000000004E-2</c:v>
                      </c:pt>
                      <c:pt idx="10" formatCode="_(* #,##0_);_(* \(#,##0\);_(* &quot;-&quot;??_);_(@_)">
                        <c:v>2005.0220260000001</c:v>
                      </c:pt>
                      <c:pt idx="12" formatCode="_(* #,##0_);_(* \(#,##0\);_(* &quot;-&quot;??_);_(@_)">
                        <c:v>163.79473899999999</c:v>
                      </c:pt>
                    </c:numCache>
                  </c:numRef>
                </c:val>
                <c:extLst xmlns:c15="http://schemas.microsoft.com/office/drawing/2012/chart" xmlns:c16r2="http://schemas.microsoft.com/office/drawing/2015/06/chart">
                  <c:ext xmlns:c16="http://schemas.microsoft.com/office/drawing/2014/chart" uri="{C3380CC4-5D6E-409C-BE32-E72D297353CC}">
                    <c16:uniqueId val="{00000036-1CD8-43CE-8F24-D7FF639FD35C}"/>
                  </c:ext>
                </c:extLst>
              </c15:ser>
            </c15:filteredBarSeries>
            <c15:filteredBarSeries>
              <c15:ser>
                <c:idx val="25"/>
                <c:order val="25"/>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'[Control_Measures_Workbook_06222017.xlsx]OTR-CSA_Top15'!$AA$31</c15:sqref>
                        </c15:formulaRef>
                      </c:ext>
                    </c:extLst>
                    <c:strCache>
                      <c:ptCount val="1"/>
                      <c:pt idx="0">
                        <c:v>ME</c:v>
                      </c:pt>
                    </c:strCache>
                  </c:strRef>
                </c:tx>
                <c:spPr>
                  <a:solidFill>
                    <a:schemeClr val="accent2">
                      <a:lumMod val="60000"/>
                      <a:lumOff val="4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'[Control_Measures_Workbook_06222017.xlsx]OTR-CSA_Top15'!$AA$32:$AA$49</c15:sqref>
                        </c15:formulaRef>
                      </c:ext>
                    </c:extLst>
                    <c:numCache>
                      <c:formatCode>General</c:formatCode>
                      <c:ptCount val="15"/>
                      <c:pt idx="0" formatCode="_(* #,##0_);_(* \(#,##0\);_(* &quot;-&quot;??_);_(@_)">
                        <c:v>32.245799999999996</c:v>
                      </c:pt>
                      <c:pt idx="2" formatCode="_(* #,##0_);_(* \(#,##0\);_(* &quot;-&quot;??_);_(@_)">
                        <c:v>1104.81</c:v>
                      </c:pt>
                      <c:pt idx="4" formatCode="_(* #,##0_);_(* \(#,##0\);_(* &quot;-&quot;??_);_(@_)">
                        <c:v>3403.5214340000016</c:v>
                      </c:pt>
                      <c:pt idx="10" formatCode="_(* #,##0_);_(* \(#,##0\);_(* &quot;-&quot;??_);_(@_)">
                        <c:v>774.06397520000007</c:v>
                      </c:pt>
                      <c:pt idx="12" formatCode="_(* #,##0_);_(* \(#,##0\);_(* &quot;-&quot;??_);_(@_)">
                        <c:v>32.5</c:v>
                      </c:pt>
                      <c:pt idx="14" formatCode="_(* #,##0_);_(* \(#,##0\);_(* &quot;-&quot;??_);_(@_)">
                        <c:v>3827.29912599</c:v>
                      </c:pt>
                    </c:numCache>
                  </c:numRef>
                </c:val>
                <c:extLst xmlns:c15="http://schemas.microsoft.com/office/drawing/2012/chart" xmlns:c16r2="http://schemas.microsoft.com/office/drawing/2015/06/chart">
                  <c:ext xmlns:c16="http://schemas.microsoft.com/office/drawing/2014/chart" uri="{C3380CC4-5D6E-409C-BE32-E72D297353CC}">
                    <c16:uniqueId val="{00000037-1CD8-43CE-8F24-D7FF639FD35C}"/>
                  </c:ext>
                </c:extLst>
              </c15:ser>
            </c15:filteredBarSeries>
            <c15:filteredBarSeries>
              <c15:ser>
                <c:idx val="26"/>
                <c:order val="26"/>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'[Control_Measures_Workbook_06222017.xlsx]OTR-CSA_Top15'!$AB$31</c15:sqref>
                        </c15:formulaRef>
                      </c:ext>
                    </c:extLst>
                    <c:strCache>
                      <c:ptCount val="1"/>
                      <c:pt idx="0">
                        <c:v>NY</c:v>
                      </c:pt>
                    </c:strCache>
                  </c:strRef>
                </c:tx>
                <c:spPr>
                  <a:solidFill>
                    <a:schemeClr val="accent3">
                      <a:lumMod val="60000"/>
                      <a:lumOff val="4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'[Control_Measures_Workbook_06222017.xlsx]OTR-CSA_Top15'!$AB$32:$AB$49</c15:sqref>
                        </c15:formulaRef>
                      </c:ext>
                    </c:extLst>
                    <c:numCache>
                      <c:formatCode>General</c:formatCode>
                      <c:ptCount val="15"/>
                      <c:pt idx="0" formatCode="_(* #,##0_);_(* \(#,##0\);_(* &quot;-&quot;??_);_(@_)">
                        <c:v>1243.6417890999999</c:v>
                      </c:pt>
                      <c:pt idx="2" formatCode="_(* #,##0_);_(* \(#,##0\);_(* &quot;-&quot;??_);_(@_)">
                        <c:v>2464.1816325</c:v>
                      </c:pt>
                      <c:pt idx="4" formatCode="_(* #,##0_);_(* \(#,##0\);_(* &quot;-&quot;??_);_(@_)">
                        <c:v>30.633004100000001</c:v>
                      </c:pt>
                      <c:pt idx="5" formatCode="_(* #,##0_);_(* \(#,##0\);_(* &quot;-&quot;??_);_(@_)">
                        <c:v>263.92954500000002</c:v>
                      </c:pt>
                      <c:pt idx="6" formatCode="_(* #,##0_);_(* \(#,##0\);_(* &quot;-&quot;??_);_(@_)">
                        <c:v>2.5101205000000002</c:v>
                      </c:pt>
                      <c:pt idx="7" formatCode="_(* #,##0_);_(* \(#,##0\);_(* &quot;-&quot;??_);_(@_)">
                        <c:v>1229.890793</c:v>
                      </c:pt>
                      <c:pt idx="9" formatCode="_(* #,##0_);_(* \(#,##0\);_(* &quot;-&quot;??_);_(@_)">
                        <c:v>1797.5396559000001</c:v>
                      </c:pt>
                      <c:pt idx="10" formatCode="_(* #,##0_);_(* \(#,##0\);_(* &quot;-&quot;??_);_(@_)">
                        <c:v>4245.9047954500002</c:v>
                      </c:pt>
                      <c:pt idx="12" formatCode="_(* #,##0_);_(* \(#,##0\);_(* &quot;-&quot;??_);_(@_)">
                        <c:v>541.97125000000005</c:v>
                      </c:pt>
                      <c:pt idx="13" formatCode="_(* #,##0_);_(* \(#,##0\);_(* &quot;-&quot;??_);_(@_)">
                        <c:v>86.175970000000007</c:v>
                      </c:pt>
                      <c:pt idx="14" formatCode="_(* #,##0_);_(* \(#,##0\);_(* &quot;-&quot;??_);_(@_)">
                        <c:v>1859.0465589999997</c:v>
                      </c:pt>
                    </c:numCache>
                  </c:numRef>
                </c:val>
                <c:extLst xmlns:c15="http://schemas.microsoft.com/office/drawing/2012/chart" xmlns:c16r2="http://schemas.microsoft.com/office/drawing/2015/06/chart">
                  <c:ext xmlns:c16="http://schemas.microsoft.com/office/drawing/2014/chart" uri="{C3380CC4-5D6E-409C-BE32-E72D297353CC}">
                    <c16:uniqueId val="{00000038-1CD8-43CE-8F24-D7FF639FD35C}"/>
                  </c:ext>
                </c:extLst>
              </c15:ser>
            </c15:filteredBarSeries>
            <c15:filteredBarSeries>
              <c15:ser>
                <c:idx val="27"/>
                <c:order val="27"/>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'[Control_Measures_Workbook_06222017.xlsx]OTR-CSA_Top15'!$AC$31</c15:sqref>
                        </c15:formulaRef>
                      </c:ext>
                    </c:extLst>
                    <c:strCache>
                      <c:ptCount val="1"/>
                      <c:pt idx="0">
                        <c:v>VT</c:v>
                      </c:pt>
                    </c:strCache>
                  </c:strRef>
                </c:tx>
                <c:spPr>
                  <a:solidFill>
                    <a:schemeClr val="accent4">
                      <a:lumMod val="60000"/>
                      <a:lumOff val="4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'[Control_Measures_Workbook_06222017.xlsx]OTR-CSA_Top15'!$AC$32:$AC$49</c15:sqref>
                        </c15:formulaRef>
                      </c:ext>
                    </c:extLst>
                    <c:numCache>
                      <c:formatCode>General</c:formatCode>
                      <c:ptCount val="15"/>
                      <c:pt idx="13" formatCode="_(* #,##0_);_(* \(#,##0\);_(* &quot;-&quot;??_);_(@_)">
                        <c:v>47.554667600000002</c:v>
                      </c:pt>
                    </c:numCache>
                  </c:numRef>
                </c:val>
                <c:extLst xmlns:c15="http://schemas.microsoft.com/office/drawing/2012/chart" xmlns:c16r2="http://schemas.microsoft.com/office/drawing/2015/06/chart">
                  <c:ext xmlns:c16="http://schemas.microsoft.com/office/drawing/2014/chart" uri="{C3380CC4-5D6E-409C-BE32-E72D297353CC}">
                    <c16:uniqueId val="{00000039-1CD8-43CE-8F24-D7FF639FD35C}"/>
                  </c:ext>
                </c:extLst>
              </c15:ser>
            </c15:filteredBarSeries>
            <c15:filteredBarSeries>
              <c15:ser>
                <c:idx val="28"/>
                <c:order val="28"/>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'[Control_Measures_Workbook_06222017.xlsx]OTR-CSA_Top15'!$AD$31</c15:sqref>
                        </c15:formulaRef>
                      </c:ext>
                    </c:extLst>
                    <c:strCache>
                      <c:ptCount val="1"/>
                      <c:pt idx="0">
                        <c:v>PA</c:v>
                      </c:pt>
                    </c:strCache>
                  </c:strRef>
                </c:tx>
                <c:spPr>
                  <a:solidFill>
                    <a:schemeClr val="accent5">
                      <a:lumMod val="60000"/>
                      <a:lumOff val="4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'[Control_Measures_Workbook_06222017.xlsx]OTR-CSA_Top15'!$AD$32:$AD$49</c15:sqref>
                        </c15:formulaRef>
                      </c:ext>
                    </c:extLst>
                    <c:numCache>
                      <c:formatCode>_(* #,##0_);_(* \(#,##0\);_(* "-"??_);_(@_)</c:formatCode>
                      <c:ptCount val="15"/>
                      <c:pt idx="0">
                        <c:v>5759.0199999999995</c:v>
                      </c:pt>
                      <c:pt idx="1">
                        <c:v>189.93440000000001</c:v>
                      </c:pt>
                      <c:pt idx="2">
                        <c:v>5497.5968000000003</c:v>
                      </c:pt>
                      <c:pt idx="3">
                        <c:v>2745.7469999999998</c:v>
                      </c:pt>
                      <c:pt idx="4">
                        <c:v>4319.0294000000004</c:v>
                      </c:pt>
                      <c:pt idx="5">
                        <c:v>7402.373000000006</c:v>
                      </c:pt>
                      <c:pt idx="6">
                        <c:v>336.32000000000005</c:v>
                      </c:pt>
                      <c:pt idx="7">
                        <c:v>1750.2158899999997</c:v>
                      </c:pt>
                      <c:pt idx="8">
                        <c:v>5.7313999999999998</c:v>
                      </c:pt>
                      <c:pt idx="9">
                        <c:v>5899.142399999997</c:v>
                      </c:pt>
                      <c:pt idx="10">
                        <c:v>4642.888600000003</c:v>
                      </c:pt>
                      <c:pt idx="11">
                        <c:v>1309.431</c:v>
                      </c:pt>
                      <c:pt idx="12">
                        <c:v>259.94880000000001</c:v>
                      </c:pt>
                      <c:pt idx="13">
                        <c:v>256.15870000000001</c:v>
                      </c:pt>
                    </c:numCache>
                  </c:numRef>
                </c:val>
                <c:extLst xmlns:c15="http://schemas.microsoft.com/office/drawing/2012/chart" xmlns:c16r2="http://schemas.microsoft.com/office/drawing/2015/06/chart">
                  <c:ext xmlns:c16="http://schemas.microsoft.com/office/drawing/2014/chart" uri="{C3380CC4-5D6E-409C-BE32-E72D297353CC}">
                    <c16:uniqueId val="{0000003E-1CD8-43CE-8F24-D7FF639FD35C}"/>
                  </c:ext>
                </c:extLst>
              </c15:ser>
            </c15:filteredBarSeries>
            <c15:filteredBarSeries>
              <c15:ser>
                <c:idx val="29"/>
                <c:order val="29"/>
                <c:tx>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'[Control_Measures_Workbook_06222017.xlsx]OTR-CSA_Top15'!$AE$31</c15:sqref>
                        </c15:formulaRef>
                      </c:ext>
                    </c:extLst>
                    <c:strCache>
                      <c:ptCount val="1"/>
                      <c:pt idx="0">
                        <c:v>RI</c:v>
                      </c:pt>
                    </c:strCache>
                  </c:strRef>
                </c:tx>
                <c:spPr>
                  <a:solidFill>
                    <a:schemeClr val="accent6">
                      <a:lumMod val="60000"/>
                      <a:lumOff val="4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'[Control_Measures_Workbook_06222017.xlsx]OTR-CSA_Top15'!$A$32:$A$49</c15:sqref>
                        </c15:formulaRef>
                      </c:ext>
                    </c:extLst>
                    <c:strCache>
                      <c:ptCount val="15"/>
                      <c:pt idx="0">
                        <c:v>Pipeline Transportation of Natural Gas *</c:v>
                      </c:pt>
                      <c:pt idx="1">
                        <c:v>Oil and Gas Extraction  </c:v>
                      </c:pt>
                      <c:pt idx="2">
                        <c:v>Cement Manufacturing *</c:v>
                      </c:pt>
                      <c:pt idx="3">
                        <c:v>Petroleum Refineries *</c:v>
                      </c:pt>
                      <c:pt idx="4">
                        <c:v>Paper Mills *</c:v>
                      </c:pt>
                      <c:pt idx="5">
                        <c:v>Iron and Steel Mills and Ferroalloy Manufacturing *</c:v>
                      </c:pt>
                      <c:pt idx="6">
                        <c:v>Other Basic Organic Chemical Manufacturing  </c:v>
                      </c:pt>
                      <c:pt idx="7">
                        <c:v>Support Activities for Rail Transportation *</c:v>
                      </c:pt>
                      <c:pt idx="8">
                        <c:v>Petrochemical Manufacturing  </c:v>
                      </c:pt>
                      <c:pt idx="9">
                        <c:v>Glass and Glass Product Manufacturing *</c:v>
                      </c:pt>
                      <c:pt idx="10">
                        <c:v>Waste Treatment and Disposal *</c:v>
                      </c:pt>
                      <c:pt idx="11">
                        <c:v>Lime Manufacturing  </c:v>
                      </c:pt>
                      <c:pt idx="12">
                        <c:v>Other Basic Inorganic Chemical Manufacturing  </c:v>
                      </c:pt>
                      <c:pt idx="13">
                        <c:v>Paperboard Mills  </c:v>
                      </c:pt>
                      <c:pt idx="14">
                        <c:v>Pulp Mills *</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'[Control_Measures_Workbook_06222017.xlsx]OTR-CSA_Top15'!$AE$32:$AE$49</c15:sqref>
                        </c15:formulaRef>
                      </c:ext>
                    </c:extLst>
                    <c:numCache>
                      <c:formatCode>General</c:formatCode>
                      <c:ptCount val="15"/>
                      <c:pt idx="0" formatCode="_(* #,##0_);_(* \(#,##0\);_(* &quot;-&quot;??_);_(@_)">
                        <c:v>44.123499999999993</c:v>
                      </c:pt>
                      <c:pt idx="2" formatCode="_(* #,##0_);_(* \(#,##0\);_(* &quot;-&quot;??_);_(@_)">
                        <c:v>9.9600000000000009</c:v>
                      </c:pt>
                      <c:pt idx="10" formatCode="_(* #,##0_);_(* \(#,##0\);_(* &quot;-&quot;??_);_(@_)">
                        <c:v>0.35549999999999998</c:v>
                      </c:pt>
                    </c:numCache>
                  </c:numRef>
                </c:val>
                <c:extLst xmlns:c15="http://schemas.microsoft.com/office/drawing/2012/chart" xmlns:c16r2="http://schemas.microsoft.com/office/drawing/2015/06/chart">
                  <c:ext xmlns:c16="http://schemas.microsoft.com/office/drawing/2014/chart" uri="{C3380CC4-5D6E-409C-BE32-E72D297353CC}">
                    <c16:uniqueId val="{0000003F-1CD8-43CE-8F24-D7FF639FD35C}"/>
                  </c:ext>
                </c:extLst>
              </c15:ser>
            </c15:filteredBarSeries>
          </c:ext>
        </c:extLst>
      </c:barChart>
      <c:catAx>
        <c:axId val="472451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2450832"/>
        <c:crosses val="autoZero"/>
        <c:auto val="1"/>
        <c:lblAlgn val="ctr"/>
        <c:lblOffset val="100"/>
        <c:noMultiLvlLbl val="0"/>
      </c:catAx>
      <c:valAx>
        <c:axId val="472450832"/>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2451224"/>
        <c:crosses val="autoZero"/>
        <c:crossBetween val="between"/>
      </c:valAx>
      <c:spPr>
        <a:noFill/>
        <a:ln>
          <a:noFill/>
        </a:ln>
        <a:effectLst/>
      </c:spPr>
    </c:plotArea>
    <c:legend>
      <c:legendPos val="r"/>
      <c:layout>
        <c:manualLayout>
          <c:xMode val="edge"/>
          <c:yMode val="edge"/>
          <c:x val="0.58972520821973762"/>
          <c:y val="0.16188134588020589"/>
          <c:w val="0.32245793795006428"/>
          <c:h val="9.181036866853806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Cement Kilns in States within CSAPR U    + OTR</a:t>
            </a:r>
          </a:p>
        </c:rich>
      </c:tx>
      <c:overlay val="0"/>
      <c:spPr>
        <a:noFill/>
        <a:ln>
          <a:noFill/>
        </a:ln>
        <a:effectLst/>
      </c:spPr>
    </c:title>
    <c:autoTitleDeleted val="0"/>
    <c:plotArea>
      <c:layout>
        <c:manualLayout>
          <c:layoutTarget val="inner"/>
          <c:xMode val="edge"/>
          <c:yMode val="edge"/>
          <c:x val="0.15354700647962921"/>
          <c:y val="0.13417895490336432"/>
          <c:w val="0.82575140378016998"/>
          <c:h val="0.62528674849156274"/>
        </c:manualLayout>
      </c:layout>
      <c:barChart>
        <c:barDir val="col"/>
        <c:grouping val="clustered"/>
        <c:varyColors val="0"/>
        <c:ser>
          <c:idx val="0"/>
          <c:order val="0"/>
          <c:spPr>
            <a:solidFill>
              <a:schemeClr val="accent1"/>
            </a:solidFill>
            <a:ln>
              <a:noFill/>
            </a:ln>
            <a:effectLst/>
          </c:spPr>
          <c:invertIfNegative val="0"/>
          <c:dPt>
            <c:idx val="7"/>
            <c:invertIfNegative val="0"/>
            <c:bubble3D val="0"/>
            <c:spPr>
              <a:solidFill>
                <a:schemeClr val="accent5">
                  <a:lumMod val="75000"/>
                </a:schemeClr>
              </a:solidFill>
              <a:ln>
                <a:noFill/>
              </a:ln>
              <a:effectLst/>
            </c:spPr>
          </c:dPt>
          <c:dPt>
            <c:idx val="8"/>
            <c:invertIfNegative val="0"/>
            <c:bubble3D val="0"/>
            <c:spPr>
              <a:solidFill>
                <a:schemeClr val="accent5">
                  <a:lumMod val="75000"/>
                </a:schemeClr>
              </a:solidFill>
              <a:ln>
                <a:noFill/>
              </a:ln>
              <a:effectLst/>
            </c:spPr>
          </c:dPt>
          <c:dPt>
            <c:idx val="11"/>
            <c:invertIfNegative val="0"/>
            <c:bubble3D val="0"/>
            <c:spPr>
              <a:solidFill>
                <a:schemeClr val="accent5">
                  <a:lumMod val="75000"/>
                </a:schemeClr>
              </a:solidFill>
              <a:ln>
                <a:noFill/>
              </a:ln>
              <a:effectLst/>
            </c:spPr>
          </c:dPt>
          <c:dPt>
            <c:idx val="14"/>
            <c:invertIfNegative val="0"/>
            <c:bubble3D val="0"/>
            <c:spPr>
              <a:solidFill>
                <a:schemeClr val="accent5">
                  <a:lumMod val="75000"/>
                </a:schemeClr>
              </a:solidFill>
              <a:ln>
                <a:noFill/>
              </a:ln>
              <a:effectLst/>
            </c:spPr>
          </c:dPt>
          <c:dPt>
            <c:idx val="17"/>
            <c:invertIfNegative val="0"/>
            <c:bubble3D val="0"/>
            <c:spPr>
              <a:solidFill>
                <a:schemeClr val="accent5">
                  <a:lumMod val="75000"/>
                </a:schemeClr>
              </a:solidFill>
              <a:ln>
                <a:noFill/>
              </a:ln>
              <a:effectLst/>
            </c:spPr>
          </c:dPt>
          <c:cat>
            <c:strRef>
              <c:f>Sheet1!$A$2:$A$20</c:f>
              <c:strCache>
                <c:ptCount val="19"/>
                <c:pt idx="0">
                  <c:v> AL </c:v>
                </c:pt>
                <c:pt idx="1">
                  <c:v> AR </c:v>
                </c:pt>
                <c:pt idx="2">
                  <c:v> IA </c:v>
                </c:pt>
                <c:pt idx="3">
                  <c:v> IL </c:v>
                </c:pt>
                <c:pt idx="4">
                  <c:v> IN </c:v>
                </c:pt>
                <c:pt idx="5">
                  <c:v> KS </c:v>
                </c:pt>
                <c:pt idx="6">
                  <c:v> KY </c:v>
                </c:pt>
                <c:pt idx="7">
                  <c:v> MD </c:v>
                </c:pt>
                <c:pt idx="8">
                  <c:v> ME </c:v>
                </c:pt>
                <c:pt idx="9">
                  <c:v> MI </c:v>
                </c:pt>
                <c:pt idx="10">
                  <c:v> MO </c:v>
                </c:pt>
                <c:pt idx="11">
                  <c:v> NY </c:v>
                </c:pt>
                <c:pt idx="12">
                  <c:v> OH </c:v>
                </c:pt>
                <c:pt idx="13">
                  <c:v> OK </c:v>
                </c:pt>
                <c:pt idx="14">
                  <c:v> PA </c:v>
                </c:pt>
                <c:pt idx="15">
                  <c:v> TN </c:v>
                </c:pt>
                <c:pt idx="16">
                  <c:v> TX </c:v>
                </c:pt>
                <c:pt idx="17">
                  <c:v> VA </c:v>
                </c:pt>
                <c:pt idx="18">
                  <c:v> WV </c:v>
                </c:pt>
              </c:strCache>
            </c:strRef>
          </c:cat>
          <c:val>
            <c:numRef>
              <c:f>Sheet1!$B$2:$B$20</c:f>
              <c:numCache>
                <c:formatCode>#,##0</c:formatCode>
                <c:ptCount val="19"/>
                <c:pt idx="0">
                  <c:v>8825</c:v>
                </c:pt>
                <c:pt idx="1">
                  <c:v>1569</c:v>
                </c:pt>
                <c:pt idx="2">
                  <c:v>2279</c:v>
                </c:pt>
                <c:pt idx="3">
                  <c:v>2001</c:v>
                </c:pt>
                <c:pt idx="4">
                  <c:v>4275</c:v>
                </c:pt>
                <c:pt idx="5">
                  <c:v>2855</c:v>
                </c:pt>
                <c:pt idx="6">
                  <c:v>1454</c:v>
                </c:pt>
                <c:pt idx="7">
                  <c:v>4075</c:v>
                </c:pt>
                <c:pt idx="8">
                  <c:v>1105</c:v>
                </c:pt>
                <c:pt idx="9">
                  <c:v>7083</c:v>
                </c:pt>
                <c:pt idx="10">
                  <c:v>9623</c:v>
                </c:pt>
                <c:pt idx="11">
                  <c:v>2464</c:v>
                </c:pt>
                <c:pt idx="12">
                  <c:v>1273</c:v>
                </c:pt>
                <c:pt idx="13">
                  <c:v>5551</c:v>
                </c:pt>
                <c:pt idx="14">
                  <c:v>5498</c:v>
                </c:pt>
                <c:pt idx="15">
                  <c:v>2520</c:v>
                </c:pt>
                <c:pt idx="16">
                  <c:v>16560</c:v>
                </c:pt>
                <c:pt idx="17">
                  <c:v>2007</c:v>
                </c:pt>
                <c:pt idx="18">
                  <c:v>1264</c:v>
                </c:pt>
              </c:numCache>
            </c:numRef>
          </c:val>
        </c:ser>
        <c:dLbls>
          <c:showLegendKey val="0"/>
          <c:showVal val="0"/>
          <c:showCatName val="0"/>
          <c:showSerName val="0"/>
          <c:showPercent val="0"/>
          <c:showBubbleSize val="0"/>
        </c:dLbls>
        <c:gapWidth val="219"/>
        <c:overlap val="-27"/>
        <c:axId val="238064000"/>
        <c:axId val="238064392"/>
      </c:barChart>
      <c:catAx>
        <c:axId val="23806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8064392"/>
        <c:crosses val="autoZero"/>
        <c:auto val="1"/>
        <c:lblAlgn val="ctr"/>
        <c:lblOffset val="100"/>
        <c:noMultiLvlLbl val="0"/>
      </c:catAx>
      <c:valAx>
        <c:axId val="238064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3806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spcBef>
          <a:spcPts val="1000"/>
        </a:spcBef>
        <a:spcAft>
          <a:spcPts val="300"/>
        </a:spcAft>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0.5283</cdr:x>
      <cdr:y>0.92194</cdr:y>
    </cdr:from>
    <cdr:to>
      <cdr:x>0.90807</cdr:x>
      <cdr:y>0.98721</cdr:y>
    </cdr:to>
    <cdr:sp macro="" textlink="">
      <cdr:nvSpPr>
        <cdr:cNvPr id="3" name="Text Box 2"/>
        <cdr:cNvSpPr txBox="1"/>
      </cdr:nvSpPr>
      <cdr:spPr>
        <a:xfrm xmlns:a="http://schemas.openxmlformats.org/drawingml/2006/main">
          <a:off x="2552255" y="2817095"/>
          <a:ext cx="1834700" cy="199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t>NOx</a:t>
          </a:r>
          <a:r>
            <a:rPr lang="en-US" sz="1000" b="1" baseline="0"/>
            <a:t> Emissions (tons per year)</a:t>
          </a:r>
          <a:endParaRPr lang="en-US"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0.58295</cdr:x>
      <cdr:y>0.25401</cdr:y>
    </cdr:from>
    <cdr:to>
      <cdr:x>0.87434</cdr:x>
      <cdr:y>0.31459</cdr:y>
    </cdr:to>
    <cdr:sp macro="" textlink="">
      <cdr:nvSpPr>
        <cdr:cNvPr id="2" name="TextBox 1"/>
        <cdr:cNvSpPr txBox="1"/>
      </cdr:nvSpPr>
      <cdr:spPr>
        <a:xfrm xmlns:a="http://schemas.openxmlformats.org/drawingml/2006/main">
          <a:off x="3029509" y="938735"/>
          <a:ext cx="1514307" cy="2238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i="0">
              <a:solidFill>
                <a:sysClr val="windowText" lastClr="000000"/>
              </a:solidFill>
            </a:rPr>
            <a:t>* </a:t>
          </a:r>
          <a:r>
            <a:rPr lang="en-US" sz="1000" i="0">
              <a:solidFill>
                <a:sysClr val="windowText" lastClr="000000"/>
              </a:solidFill>
            </a:rPr>
            <a:t>OTR</a:t>
          </a:r>
          <a:r>
            <a:rPr lang="en-US" sz="1000" i="0" baseline="0">
              <a:solidFill>
                <a:sysClr val="windowText" lastClr="000000"/>
              </a:solidFill>
            </a:rPr>
            <a:t> Top 10 Category</a:t>
          </a:r>
          <a:endParaRPr lang="en-US" sz="1000" i="0">
            <a:solidFill>
              <a:sysClr val="windowText" lastClr="000000"/>
            </a:solidFill>
          </a:endParaRPr>
        </a:p>
      </cdr:txBody>
    </cdr:sp>
  </cdr:relSizeAnchor>
  <cdr:relSizeAnchor xmlns:cdr="http://schemas.openxmlformats.org/drawingml/2006/chartDrawing">
    <cdr:from>
      <cdr:x>0.53177</cdr:x>
      <cdr:y>0.90447</cdr:y>
    </cdr:from>
    <cdr:to>
      <cdr:x>0.91153</cdr:x>
      <cdr:y>0.96838</cdr:y>
    </cdr:to>
    <cdr:sp macro="" textlink="">
      <cdr:nvSpPr>
        <cdr:cNvPr id="5" name="Text Box 1"/>
        <cdr:cNvSpPr txBox="1"/>
      </cdr:nvSpPr>
      <cdr:spPr>
        <a:xfrm xmlns:a="http://schemas.openxmlformats.org/drawingml/2006/main">
          <a:off x="2763520" y="3342640"/>
          <a:ext cx="1973580" cy="236220"/>
        </a:xfrm>
        <a:prstGeom xmlns:a="http://schemas.openxmlformats.org/drawingml/2006/main" prst="rect">
          <a:avLst/>
        </a:prstGeom>
      </cdr:spPr>
    </cdr:sp>
  </cdr:relSizeAnchor>
  <cdr:relSizeAnchor xmlns:cdr="http://schemas.openxmlformats.org/drawingml/2006/chartDrawing">
    <cdr:from>
      <cdr:x>0.50587</cdr:x>
      <cdr:y>0.91959</cdr:y>
    </cdr:from>
    <cdr:to>
      <cdr:x>0.94428</cdr:x>
      <cdr:y>0.98557</cdr:y>
    </cdr:to>
    <cdr:sp macro="" textlink="">
      <cdr:nvSpPr>
        <cdr:cNvPr id="6" name="Text Box 5"/>
        <cdr:cNvSpPr txBox="1"/>
      </cdr:nvSpPr>
      <cdr:spPr>
        <a:xfrm xmlns:a="http://schemas.openxmlformats.org/drawingml/2006/main">
          <a:off x="2628900" y="3398520"/>
          <a:ext cx="227838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0.53177</cdr:x>
      <cdr:y>0.90447</cdr:y>
    </cdr:from>
    <cdr:to>
      <cdr:x>0.91153</cdr:x>
      <cdr:y>0.96838</cdr:y>
    </cdr:to>
    <cdr:sp macro="" textlink="">
      <cdr:nvSpPr>
        <cdr:cNvPr id="7" name="Text Box 1"/>
        <cdr:cNvSpPr txBox="1"/>
      </cdr:nvSpPr>
      <cdr:spPr>
        <a:xfrm xmlns:a="http://schemas.openxmlformats.org/drawingml/2006/main">
          <a:off x="2763520" y="3342640"/>
          <a:ext cx="1973580" cy="236220"/>
        </a:xfrm>
        <a:prstGeom xmlns:a="http://schemas.openxmlformats.org/drawingml/2006/main" prst="rect">
          <a:avLst/>
        </a:prstGeom>
      </cdr:spPr>
    </cdr:sp>
  </cdr:relSizeAnchor>
  <cdr:relSizeAnchor xmlns:cdr="http://schemas.openxmlformats.org/drawingml/2006/chartDrawing">
    <cdr:from>
      <cdr:x>0.54545</cdr:x>
      <cdr:y>0.93318</cdr:y>
    </cdr:from>
    <cdr:to>
      <cdr:x>0.94575</cdr:x>
      <cdr:y>1</cdr:y>
    </cdr:to>
    <cdr:sp macro="" textlink="">
      <cdr:nvSpPr>
        <cdr:cNvPr id="8" name="Text Box 7"/>
        <cdr:cNvSpPr txBox="1"/>
      </cdr:nvSpPr>
      <cdr:spPr>
        <a:xfrm xmlns:a="http://schemas.openxmlformats.org/drawingml/2006/main">
          <a:off x="2635113" y="3192780"/>
          <a:ext cx="1933881"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000" b="1"/>
            <a:t>NOx</a:t>
          </a:r>
          <a:r>
            <a:rPr lang="en-US" sz="1000" b="1" baseline="0"/>
            <a:t> Emissions (tons per year)</a:t>
          </a:r>
          <a:endParaRPr lang="en-US" sz="1000" b="1"/>
        </a:p>
      </cdr:txBody>
    </cdr:sp>
  </cdr:relSizeAnchor>
</c:userShapes>
</file>

<file path=word/drawings/drawing3.xml><?xml version="1.0" encoding="utf-8"?>
<c:userShapes xmlns:c="http://schemas.openxmlformats.org/drawingml/2006/chart">
  <cdr:relSizeAnchor xmlns:cdr="http://schemas.openxmlformats.org/drawingml/2006/chartDrawing">
    <cdr:from>
      <cdr:x>0.46948</cdr:x>
      <cdr:y>0.86269</cdr:y>
    </cdr:from>
    <cdr:to>
      <cdr:x>0.55235</cdr:x>
      <cdr:y>1</cdr:y>
    </cdr:to>
    <cdr:sp macro="" textlink="">
      <cdr:nvSpPr>
        <cdr:cNvPr id="2" name="TextBox 1"/>
        <cdr:cNvSpPr txBox="1"/>
      </cdr:nvSpPr>
      <cdr:spPr>
        <a:xfrm xmlns:a="http://schemas.openxmlformats.org/drawingml/2006/main">
          <a:off x="2631228" y="1631382"/>
          <a:ext cx="464446" cy="2596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t>States</a:t>
          </a:r>
        </a:p>
      </cdr:txBody>
    </cdr:sp>
  </cdr:relSizeAnchor>
  <cdr:relSizeAnchor xmlns:cdr="http://schemas.openxmlformats.org/drawingml/2006/chartDrawing">
    <cdr:from>
      <cdr:x>0.01051</cdr:x>
      <cdr:y>0.07651</cdr:y>
    </cdr:from>
    <cdr:to>
      <cdr:x>0.05625</cdr:x>
      <cdr:y>0.7839</cdr:y>
    </cdr:to>
    <cdr:sp macro="" textlink="">
      <cdr:nvSpPr>
        <cdr:cNvPr id="3" name="TextBox 2"/>
        <cdr:cNvSpPr txBox="1"/>
      </cdr:nvSpPr>
      <cdr:spPr>
        <a:xfrm xmlns:a="http://schemas.openxmlformats.org/drawingml/2006/main" rot="16200000">
          <a:off x="-688754" y="931211"/>
          <a:ext cx="1729410" cy="2410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t>NOx Emissions (tons per year)</a:t>
          </a:r>
        </a:p>
      </cdr:txBody>
    </cdr:sp>
  </cdr:relSizeAnchor>
  <cdr:relSizeAnchor xmlns:cdr="http://schemas.openxmlformats.org/drawingml/2006/chartDrawing">
    <cdr:from>
      <cdr:x>0.67301</cdr:x>
      <cdr:y>0.05698</cdr:y>
    </cdr:from>
    <cdr:to>
      <cdr:x>0.68586</cdr:x>
      <cdr:y>0.09162</cdr:y>
    </cdr:to>
    <cdr:sp macro="" textlink="">
      <cdr:nvSpPr>
        <cdr:cNvPr id="4" name="Rectangle 3"/>
        <cdr:cNvSpPr/>
      </cdr:nvSpPr>
      <cdr:spPr>
        <a:xfrm xmlns:a="http://schemas.openxmlformats.org/drawingml/2006/main">
          <a:off x="3547513" y="139303"/>
          <a:ext cx="67766" cy="84688"/>
        </a:xfrm>
        <a:prstGeom xmlns:a="http://schemas.openxmlformats.org/drawingml/2006/main" prst="rect">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0.76413</cdr:x>
      <cdr:y>0.06266</cdr:y>
    </cdr:from>
    <cdr:to>
      <cdr:x>0.77698</cdr:x>
      <cdr:y>0.09729</cdr:y>
    </cdr:to>
    <cdr:sp macro="" textlink="">
      <cdr:nvSpPr>
        <cdr:cNvPr id="5" name="Rectangle 4"/>
        <cdr:cNvSpPr/>
      </cdr:nvSpPr>
      <cdr:spPr>
        <a:xfrm xmlns:a="http://schemas.openxmlformats.org/drawingml/2006/main">
          <a:off x="4027811" y="153182"/>
          <a:ext cx="67766" cy="84664"/>
        </a:xfrm>
        <a:prstGeom xmlns:a="http://schemas.openxmlformats.org/drawingml/2006/main" prst="rect">
          <a:avLst/>
        </a:prstGeom>
        <a:solidFill xmlns:a="http://schemas.openxmlformats.org/drawingml/2006/main">
          <a:schemeClr val="accent1">
            <a:lumMod val="50000"/>
          </a:schemeClr>
        </a:solidFill>
        <a:ln xmlns:a="http://schemas.openxmlformats.org/drawingml/2006/main">
          <a:solidFill>
            <a:schemeClr val="accent1">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8730A5-8300-4D37-949B-9DD801F8D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5154</Words>
  <Characters>29384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White Paper on Control Measures for Nitrogen Oxides (NOx) Emissions from Two Source Categories</vt:lpstr>
    </vt:vector>
  </TitlesOfParts>
  <Company>Ozone Transport Commission</Company>
  <LinksUpToDate>false</LinksUpToDate>
  <CharactersWithSpaces>34470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 on Control Measures for Nitrogen Oxides (NOx) Emissions from Two Source Categories</dc:title>
  <dc:subject>STATIONARY and AREA SOURCES COMMITTEE</dc:subject>
  <dc:creator>OTC SAS Committee</dc:creator>
  <cp:keywords>Ozone, NAAQS, RACT, RACM</cp:keywords>
  <cp:lastModifiedBy>srajan</cp:lastModifiedBy>
  <cp:revision>4</cp:revision>
  <cp:lastPrinted>2017-02-10T15:25:00Z</cp:lastPrinted>
  <dcterms:created xsi:type="dcterms:W3CDTF">2017-08-28T20:43:00Z</dcterms:created>
  <dcterms:modified xsi:type="dcterms:W3CDTF">2017-09-06T18:12:00Z</dcterms:modified>
  <cp:contentStatus>Draft</cp:contentStatus>
</cp:coreProperties>
</file>